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焦作市城乡一体化示范区</w:t>
      </w: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李万街道办事处</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李万街道办事处2018年部门预算情况说明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李万街道办事处2018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李万街道办事处</w:t>
      </w:r>
      <w:r>
        <w:rPr>
          <w:rFonts w:hint="eastAsia" w:ascii="仿宋_GB2312" w:hAnsi="仿宋_GB2312" w:eastAsia="仿宋_GB2312" w:cs="仿宋_GB2312"/>
          <w:b/>
          <w:bCs/>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numId w:val="0"/>
        </w:numPr>
        <w:adjustRightInd w:val="0"/>
        <w:snapToGrid w:val="0"/>
        <w:spacing w:line="360" w:lineRule="auto"/>
        <w:outlineLvl w:val="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（一）机构设置情况</w:t>
      </w:r>
    </w:p>
    <w:p>
      <w:pPr>
        <w:widowControl/>
        <w:ind w:firstLine="640" w:firstLineChars="200"/>
        <w:jc w:val="both"/>
        <w:rPr>
          <w:rFonts w:hint="eastAsia" w:ascii="仿宋_GB2312" w:hAnsi="Calibri" w:eastAsia="仿宋_GB2312"/>
          <w:sz w:val="30"/>
          <w:szCs w:val="30"/>
        </w:rPr>
      </w:pPr>
      <w:r>
        <w:rPr>
          <w:rFonts w:hint="eastAsia" w:ascii="仿宋_GB2312" w:eastAsia="仿宋_GB2312"/>
          <w:sz w:val="30"/>
          <w:szCs w:val="30"/>
          <w:lang w:val="en-US" w:eastAsia="zh-CN"/>
        </w:rPr>
        <w:t xml:space="preserve"> </w:t>
      </w:r>
      <w:r>
        <w:rPr>
          <w:rFonts w:hint="eastAsia" w:ascii="仿宋_GB2312" w:hAnsi="Calibri" w:eastAsia="仿宋_GB2312"/>
          <w:sz w:val="30"/>
          <w:szCs w:val="30"/>
        </w:rPr>
        <w:t>河南省焦作市城乡一体化示范区李万街道办事处</w:t>
      </w:r>
      <w:r>
        <w:rPr>
          <w:rFonts w:hint="eastAsia" w:ascii="仿宋_GB2312" w:eastAsia="仿宋_GB2312"/>
          <w:sz w:val="30"/>
          <w:szCs w:val="30"/>
          <w:lang w:eastAsia="zh-CN"/>
        </w:rPr>
        <w:t>下设李万街道社会发展服务中心一个事业单位，规格</w:t>
      </w:r>
      <w:r>
        <w:rPr>
          <w:rFonts w:hint="eastAsia" w:ascii="仿宋_GB2312" w:hAnsi="Calibri" w:eastAsia="仿宋_GB2312"/>
          <w:sz w:val="30"/>
          <w:szCs w:val="30"/>
        </w:rPr>
        <w:t>是</w:t>
      </w:r>
      <w:r>
        <w:rPr>
          <w:rFonts w:hint="eastAsia" w:ascii="仿宋_GB2312" w:hAnsi="Calibri" w:eastAsia="仿宋_GB2312"/>
          <w:sz w:val="30"/>
          <w:szCs w:val="30"/>
          <w:lang w:eastAsia="zh-CN"/>
        </w:rPr>
        <w:t>科级单位</w:t>
      </w:r>
      <w:r>
        <w:rPr>
          <w:rFonts w:hint="eastAsia" w:ascii="仿宋_GB2312" w:eastAsia="仿宋_GB2312"/>
          <w:sz w:val="30"/>
          <w:szCs w:val="30"/>
          <w:lang w:eastAsia="zh-CN"/>
        </w:rPr>
        <w:t>，实有工作人员行政</w:t>
      </w:r>
      <w:r>
        <w:rPr>
          <w:rFonts w:hint="eastAsia" w:ascii="仿宋_GB2312" w:eastAsia="仿宋_GB2312"/>
          <w:sz w:val="30"/>
          <w:szCs w:val="30"/>
          <w:lang w:val="en-US" w:eastAsia="zh-CN"/>
        </w:rPr>
        <w:t>12人，正科级人员4名，副科级人员6名，科员2名，实有事业人员26人，经费供给方式为示范区财政全额拨付。</w:t>
      </w:r>
    </w:p>
    <w:p>
      <w:pPr>
        <w:widowControl/>
        <w:ind w:firstLine="640" w:firstLineChars="200"/>
        <w:jc w:val="both"/>
        <w:rPr>
          <w:rFonts w:hint="eastAsia" w:ascii="仿宋_GB2312" w:hAnsi="Calibri" w:eastAsia="仿宋_GB2312"/>
          <w:sz w:val="30"/>
          <w:szCs w:val="30"/>
        </w:rPr>
      </w:pPr>
      <w:r>
        <w:rPr>
          <w:rFonts w:hint="eastAsia" w:ascii="仿宋_GB2312" w:eastAsia="仿宋_GB2312"/>
          <w:sz w:val="30"/>
          <w:szCs w:val="30"/>
          <w:lang w:eastAsia="zh-CN"/>
        </w:rPr>
        <w:t>（二）</w:t>
      </w:r>
      <w:r>
        <w:rPr>
          <w:rFonts w:hint="eastAsia" w:ascii="仿宋_GB2312" w:hAnsi="Calibri" w:eastAsia="仿宋_GB2312"/>
          <w:sz w:val="30"/>
          <w:szCs w:val="30"/>
        </w:rPr>
        <w:t>其主要职责</w:t>
      </w:r>
    </w:p>
    <w:p>
      <w:pPr>
        <w:widowControl w:val="0"/>
        <w:wordWrap/>
        <w:spacing w:before="0" w:after="0" w:line="600" w:lineRule="exact"/>
        <w:ind w:left="0" w:leftChars="0" w:firstLineChars="200"/>
        <w:textAlignment w:val="auto"/>
        <w:rPr>
          <w:rFonts w:hint="eastAsia" w:ascii="仿宋_GB2312" w:hAnsi="Calibri" w:eastAsia="仿宋_GB2312"/>
          <w:sz w:val="30"/>
          <w:szCs w:val="30"/>
          <w:lang w:val="en-US" w:eastAsia="zh-CN"/>
        </w:rPr>
      </w:pPr>
      <w:r>
        <w:rPr>
          <w:rFonts w:hint="eastAsia" w:ascii="仿宋_GB2312" w:eastAsia="仿宋_GB2312"/>
          <w:sz w:val="30"/>
          <w:szCs w:val="30"/>
          <w:lang w:val="en-US" w:eastAsia="zh-CN"/>
        </w:rPr>
        <w:t xml:space="preserve"> </w:t>
      </w:r>
      <w:r>
        <w:rPr>
          <w:rFonts w:hint="eastAsia" w:ascii="仿宋_GB2312" w:hAnsi="Calibri" w:eastAsia="仿宋_GB2312"/>
          <w:color w:val="000000"/>
          <w:sz w:val="30"/>
          <w:szCs w:val="30"/>
          <w:lang w:eastAsia="zh-CN"/>
        </w:rPr>
        <w:t>李万街道办事处下设八个办公室、五个所站、两个中心、两个科室，</w:t>
      </w:r>
      <w:r>
        <w:rPr>
          <w:rFonts w:hint="eastAsia" w:ascii="仿宋_GB2312" w:eastAsia="仿宋_GB2312"/>
          <w:color w:val="000000"/>
          <w:sz w:val="30"/>
          <w:szCs w:val="30"/>
          <w:lang w:eastAsia="zh-CN"/>
        </w:rPr>
        <w:t>对内</w:t>
      </w:r>
      <w:r>
        <w:rPr>
          <w:rFonts w:hint="eastAsia" w:ascii="仿宋_GB2312" w:hAnsi="Calibri" w:eastAsia="仿宋_GB2312"/>
          <w:color w:val="000000"/>
          <w:sz w:val="30"/>
          <w:szCs w:val="30"/>
          <w:lang w:eastAsia="zh-CN"/>
        </w:rPr>
        <w:t>按照“合理分工、明确职责、团结协作”的总体要求，全面做好街道办事处的各项工作，切实加强机关效能建设，增强责任意识，提高工作效率</w:t>
      </w:r>
      <w:r>
        <w:rPr>
          <w:rFonts w:hint="eastAsia" w:ascii="仿宋_GB2312" w:eastAsia="仿宋_GB2312"/>
          <w:color w:val="000000"/>
          <w:sz w:val="30"/>
          <w:szCs w:val="30"/>
          <w:lang w:eastAsia="zh-CN"/>
        </w:rPr>
        <w:t>；对上</w:t>
      </w:r>
      <w:r>
        <w:rPr>
          <w:rFonts w:hint="eastAsia" w:ascii="仿宋_GB2312" w:hAnsi="Calibri" w:eastAsia="仿宋_GB2312"/>
          <w:sz w:val="30"/>
          <w:szCs w:val="30"/>
          <w:lang w:val="en-US" w:eastAsia="zh-CN"/>
        </w:rPr>
        <w:t>完成区党工委、管委会交办的</w:t>
      </w:r>
      <w:r>
        <w:rPr>
          <w:rFonts w:hint="eastAsia" w:ascii="仿宋_GB2312" w:eastAsia="仿宋_GB2312"/>
          <w:sz w:val="30"/>
          <w:szCs w:val="30"/>
          <w:lang w:val="en-US" w:eastAsia="zh-CN"/>
        </w:rPr>
        <w:t>各项</w:t>
      </w:r>
      <w:r>
        <w:rPr>
          <w:rFonts w:hint="eastAsia" w:ascii="仿宋_GB2312" w:hAnsi="Calibri" w:eastAsia="仿宋_GB2312"/>
          <w:sz w:val="30"/>
          <w:szCs w:val="30"/>
          <w:lang w:val="en-US" w:eastAsia="zh-CN"/>
        </w:rPr>
        <w:t>任务</w:t>
      </w:r>
      <w:r>
        <w:rPr>
          <w:rFonts w:hint="eastAsia" w:ascii="仿宋_GB2312" w:eastAsia="仿宋_GB2312"/>
          <w:sz w:val="30"/>
          <w:szCs w:val="30"/>
          <w:lang w:val="en-US" w:eastAsia="zh-CN"/>
        </w:rPr>
        <w:t>；对下</w:t>
      </w:r>
      <w:r>
        <w:rPr>
          <w:rFonts w:hint="eastAsia" w:ascii="仿宋_GB2312" w:hAnsi="Calibri" w:eastAsia="仿宋_GB2312"/>
          <w:sz w:val="30"/>
          <w:szCs w:val="30"/>
          <w:lang w:val="en-US" w:eastAsia="zh-CN"/>
        </w:rPr>
        <w:t>指导协调村委会、居委会搞好农村和社区建设。抓好农村和社区党建，加强基层组织建设；完善社会服务网络，开展社会公共服务，开展群众文体活动，丰富人民文化生活。</w:t>
      </w:r>
    </w:p>
    <w:p>
      <w:pPr>
        <w:widowControl w:val="0"/>
        <w:wordWrap/>
        <w:spacing w:before="0" w:after="0" w:line="600" w:lineRule="exact"/>
        <w:ind w:left="0" w:leftChars="0" w:firstLineChars="200"/>
        <w:textAlignment w:val="auto"/>
        <w:rPr>
          <w:rFonts w:hint="eastAsia" w:ascii="仿宋_GB2312" w:hAnsi="Calibri" w:eastAsia="仿宋_GB2312"/>
          <w:sz w:val="30"/>
          <w:szCs w:val="30"/>
          <w:lang w:val="en-US" w:eastAsia="zh-CN"/>
        </w:rPr>
      </w:pPr>
    </w:p>
    <w:p>
      <w:pPr>
        <w:numPr>
          <w:ilvl w:val="0"/>
          <w:numId w:val="2"/>
        </w:numPr>
        <w:kinsoku w:val="0"/>
        <w:overflowPunct w:val="0"/>
        <w:adjustRightInd w:val="0"/>
        <w:snapToGrid w:val="0"/>
        <w:spacing w:line="360" w:lineRule="auto"/>
        <w:ind w:right="3569" w:firstLine="624" w:firstLineChars="200"/>
        <w:jc w:val="left"/>
        <w:outlineLvl w:val="0"/>
        <w:rPr>
          <w:rFonts w:hint="eastAsia"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预算单位构成</w:t>
      </w:r>
    </w:p>
    <w:p>
      <w:pPr>
        <w:spacing w:line="360" w:lineRule="auto"/>
        <w:ind w:firstLine="31680" w:firstLineChars="200"/>
        <w:jc w:val="both"/>
        <w:rPr>
          <w:rFonts w:ascii="黑体" w:hAnsi="黑体" w:eastAsia="黑体" w:cs="Times New Roman"/>
          <w:sz w:val="32"/>
          <w:szCs w:val="32"/>
        </w:rPr>
      </w:pPr>
      <w:r>
        <w:rPr>
          <w:rFonts w:hint="eastAsia" w:ascii="仿宋_GB2312" w:hAnsi="仿宋_GB2312" w:eastAsia="仿宋_GB2312" w:cs="仿宋_GB2312"/>
          <w:sz w:val="32"/>
          <w:szCs w:val="32"/>
          <w:lang w:eastAsia="zh-CN"/>
        </w:rPr>
        <w:t>焦作市城乡一体化示范区李万街道办事处下设李万街道社会发展服务中心一个事业单位。</w:t>
      </w:r>
    </w:p>
    <w:p>
      <w:pPr>
        <w:jc w:val="both"/>
        <w:rPr>
          <w:rFonts w:ascii="黑体" w:hAnsi="黑体" w:eastAsia="黑体" w:cs="Times New Roman"/>
          <w:sz w:val="32"/>
          <w:szCs w:val="32"/>
        </w:rPr>
      </w:pPr>
    </w:p>
    <w:p>
      <w:pPr>
        <w:jc w:val="left"/>
        <w:rPr>
          <w:rFonts w:ascii="黑体" w:hAnsi="黑体" w:eastAsia="黑体" w:cs="Times New Roman"/>
          <w:sz w:val="32"/>
          <w:szCs w:val="32"/>
        </w:rPr>
      </w:pPr>
    </w:p>
    <w:p>
      <w:pPr>
        <w:numPr>
          <w:numId w:val="0"/>
        </w:numPr>
        <w:kinsoku w:val="0"/>
        <w:overflowPunct w:val="0"/>
        <w:adjustRightInd w:val="0"/>
        <w:snapToGrid w:val="0"/>
        <w:spacing w:line="360" w:lineRule="auto"/>
        <w:ind w:right="3569"/>
        <w:jc w:val="left"/>
        <w:outlineLvl w:val="0"/>
        <w:rPr>
          <w:rFonts w:hint="eastAsia" w:ascii="仿宋_GB2312" w:hAnsi="仿宋_GB2312" w:eastAsia="仿宋_GB2312" w:cs="仿宋_GB2312"/>
          <w:b w:val="0"/>
          <w:bCs w:val="0"/>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李万街道办事处2018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eastAsia" w:ascii="仿宋_GB2312" w:hAnsi="仿宋_GB2312" w:eastAsia="仿宋_GB2312" w:cs="仿宋_GB2312"/>
          <w:sz w:val="32"/>
          <w:szCs w:val="32"/>
          <w:lang w:eastAsia="zh-CN"/>
        </w:rPr>
        <w:t>总计</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万元，支出总计</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年相比，收、支总计</w:t>
      </w:r>
      <w:r>
        <w:rPr>
          <w:rFonts w:hint="eastAsia" w:ascii="仿宋_GB2312" w:hAnsi="仿宋_GB2312" w:eastAsia="仿宋_GB2312" w:cs="仿宋_GB2312"/>
          <w:sz w:val="32"/>
          <w:szCs w:val="32"/>
          <w:lang w:val="en-US" w:eastAsia="zh-CN"/>
        </w:rPr>
        <w:t>均</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en-US" w:eastAsia="zh-CN"/>
        </w:rPr>
        <w:t>254.8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 xml:space="preserve"> </w:t>
      </w:r>
      <w:r>
        <w:rPr>
          <w:rFonts w:hint="eastAsia" w:ascii="Arial" w:hAnsi="Arial" w:eastAsia="仿宋_GB2312" w:cs="Arial"/>
          <w:sz w:val="32"/>
          <w:szCs w:val="32"/>
          <w:lang w:eastAsia="zh-CN"/>
        </w:rPr>
        <w:t>在职人员及离退休人员的工资支出增加。</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360" w:lineRule="auto"/>
        <w:ind w:firstLine="640"/>
        <w:jc w:val="left"/>
        <w:rPr>
          <w:rFonts w:hint="eastAsia" w:ascii="仿宋" w:hAnsi="仿宋" w:eastAsia="仿宋" w:cs="仿宋"/>
          <w:color w:val="000000"/>
          <w:sz w:val="32"/>
          <w:szCs w:val="32"/>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r>
        <w:rPr>
          <w:rFonts w:hint="eastAsia" w:ascii="仿宋" w:hAnsi="仿宋" w:eastAsia="仿宋" w:cs="仿宋"/>
          <w:color w:val="000000"/>
          <w:sz w:val="32"/>
          <w:szCs w:val="32"/>
        </w:rPr>
        <w:t xml:space="preserve">政府性基金预算收入0万元；国有资本经营预算收入0万元；其他收入0万元。 </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万元，其中：基本支出</w:t>
      </w:r>
      <w:r>
        <w:rPr>
          <w:rFonts w:hint="eastAsia" w:ascii="仿宋_GB2312" w:hAnsi="仿宋_GB2312" w:eastAsia="仿宋_GB2312" w:cs="仿宋_GB2312"/>
          <w:sz w:val="32"/>
          <w:szCs w:val="32"/>
          <w:lang w:val="en-US" w:eastAsia="zh-CN"/>
        </w:rPr>
        <w:t>598.19</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83.29</w:t>
      </w:r>
      <w:r>
        <w:rPr>
          <w:rFonts w:hint="eastAsia" w:ascii="Arial" w:hAnsi="Arial" w:eastAsia="仿宋_GB2312" w:cs="Arial"/>
          <w:sz w:val="32"/>
          <w:szCs w:val="32"/>
          <w:lang w:val="en-US" w:eastAsia="zh-CN"/>
        </w:rPr>
        <w:t>%</w:t>
      </w:r>
      <w:r>
        <w:rPr>
          <w:rFonts w:hint="eastAsia" w:ascii="仿宋_GB2312" w:hAnsi="仿宋_GB2312" w:eastAsia="仿宋_GB2312" w:cs="仿宋_GB2312"/>
          <w:sz w:val="32"/>
          <w:szCs w:val="32"/>
        </w:rPr>
        <w:t>；项目支出</w:t>
      </w:r>
      <w:r>
        <w:rPr>
          <w:rFonts w:hint="eastAsia" w:ascii="仿宋_GB2312" w:hAnsi="仿宋_GB2312" w:eastAsia="仿宋_GB2312" w:cs="仿宋_GB2312"/>
          <w:sz w:val="32"/>
          <w:szCs w:val="32"/>
          <w:lang w:val="en-US" w:eastAsia="zh-CN"/>
        </w:rPr>
        <w:t>120</w:t>
      </w:r>
      <w:r>
        <w:rPr>
          <w:rFonts w:hint="eastAsia" w:ascii="仿宋_GB2312" w:hAnsi="仿宋_GB2312" w:eastAsia="仿宋_GB2312" w:cs="仿宋_GB2312"/>
          <w:sz w:val="32"/>
          <w:szCs w:val="32"/>
        </w:rPr>
        <w:t>万元，占</w:t>
      </w:r>
      <w:r>
        <w:rPr>
          <w:rFonts w:hint="eastAsia" w:ascii="仿宋_GB2312" w:hAnsi="仿宋_GB2312" w:eastAsia="仿宋_GB2312" w:cs="仿宋_GB2312"/>
          <w:sz w:val="32"/>
          <w:szCs w:val="32"/>
          <w:lang w:val="en-US" w:eastAsia="zh-CN"/>
        </w:rPr>
        <w:t>16.71%</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年一般公共预算收支预算</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政府性基金收支预算0万元。</w:t>
      </w:r>
      <w:r>
        <w:rPr>
          <w:rFonts w:hint="eastAsia" w:ascii="仿宋_GB2312" w:hAnsi="仿宋_GB2312" w:eastAsia="仿宋_GB2312" w:cs="仿宋_GB2312"/>
          <w:sz w:val="32"/>
          <w:szCs w:val="32"/>
        </w:rPr>
        <w:t xml:space="preserve">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年相比，一般公共预算收支预算增加</w:t>
      </w:r>
      <w:r>
        <w:rPr>
          <w:rFonts w:hint="eastAsia" w:ascii="仿宋_GB2312" w:hAnsi="仿宋_GB2312" w:eastAsia="仿宋_GB2312" w:cs="仿宋_GB2312"/>
          <w:sz w:val="32"/>
          <w:szCs w:val="32"/>
          <w:lang w:val="en-US" w:eastAsia="zh-CN"/>
        </w:rPr>
        <w:t>254.8</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55%</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w:t>
      </w:r>
      <w:r>
        <w:rPr>
          <w:rFonts w:hint="eastAsia" w:ascii="Arial" w:hAnsi="Arial" w:eastAsia="仿宋_GB2312" w:cs="Arial"/>
          <w:sz w:val="32"/>
          <w:szCs w:val="32"/>
          <w:lang w:eastAsia="zh-CN"/>
        </w:rPr>
        <w:t>在职人员及离退休人员的工资支出增加。</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eastAsia" w:ascii="仿宋_GB2312" w:hAnsi="仿宋_GB2312" w:eastAsia="仿宋_GB2312" w:cs="仿宋_GB2312"/>
          <w:sz w:val="32"/>
          <w:szCs w:val="32"/>
          <w:lang w:val="en-US" w:eastAsia="zh-CN"/>
        </w:rPr>
        <w:t>718.19</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color w:val="000000"/>
          <w:kern w:val="0"/>
          <w:sz w:val="32"/>
          <w:szCs w:val="32"/>
        </w:rPr>
        <w:t>社会保障和就业支出</w:t>
      </w:r>
      <w:r>
        <w:rPr>
          <w:rFonts w:hint="eastAsia" w:ascii="仿宋_GB2312" w:hAnsi="仿宋_GB2312" w:eastAsia="仿宋_GB2312" w:cs="仿宋_GB2312"/>
          <w:color w:val="000000"/>
          <w:kern w:val="0"/>
          <w:sz w:val="32"/>
          <w:szCs w:val="32"/>
          <w:lang w:val="en-US" w:eastAsia="zh-CN"/>
        </w:rPr>
        <w:t>142.56</w:t>
      </w:r>
      <w:r>
        <w:rPr>
          <w:rFonts w:hint="eastAsia" w:ascii="仿宋_GB2312" w:hAnsi="仿宋_GB2312" w:eastAsia="仿宋_GB2312" w:cs="仿宋_GB2312"/>
          <w:color w:val="000000"/>
          <w:kern w:val="0"/>
          <w:sz w:val="32"/>
          <w:szCs w:val="32"/>
        </w:rPr>
        <w:t>万元，占</w:t>
      </w:r>
      <w:r>
        <w:rPr>
          <w:rFonts w:hint="eastAsia" w:ascii="仿宋_GB2312" w:hAnsi="仿宋_GB2312" w:eastAsia="仿宋_GB2312" w:cs="仿宋_GB2312"/>
          <w:color w:val="000000"/>
          <w:kern w:val="0"/>
          <w:sz w:val="32"/>
          <w:szCs w:val="32"/>
          <w:lang w:val="en-US" w:eastAsia="zh-CN"/>
        </w:rPr>
        <w:t>19.85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color w:val="000000"/>
          <w:kern w:val="0"/>
          <w:sz w:val="32"/>
          <w:szCs w:val="32"/>
          <w:lang w:eastAsia="zh-CN"/>
        </w:rPr>
        <w:t>。事业单位离退休支出</w:t>
      </w:r>
      <w:r>
        <w:rPr>
          <w:rFonts w:hint="eastAsia" w:ascii="仿宋_GB2312" w:hAnsi="仿宋_GB2312" w:eastAsia="仿宋_GB2312" w:cs="仿宋_GB2312"/>
          <w:color w:val="000000"/>
          <w:kern w:val="0"/>
          <w:sz w:val="32"/>
          <w:szCs w:val="32"/>
          <w:lang w:val="en-US" w:eastAsia="zh-CN"/>
        </w:rPr>
        <w:t>104.48万元，占14.55%；城乡社区支出575.63万元，65.6%。</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color w:val="FF0000"/>
          <w:kern w:val="0"/>
          <w:sz w:val="32"/>
          <w:szCs w:val="32"/>
          <w:u w:val="none"/>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仿宋_GB2312" w:hAnsi="仿宋_GB2312" w:eastAsia="仿宋_GB2312" w:cs="仿宋_GB2312"/>
          <w:sz w:val="32"/>
          <w:szCs w:val="32"/>
          <w:lang w:val="en-US" w:eastAsia="zh-CN"/>
        </w:rPr>
        <w:t>598.19</w:t>
      </w:r>
      <w:r>
        <w:rPr>
          <w:rFonts w:hint="eastAsia" w:ascii="仿宋_GB2312" w:hAnsi="仿宋_GB2312" w:eastAsia="仿宋_GB2312" w:cs="仿宋_GB2312"/>
          <w:sz w:val="32"/>
          <w:szCs w:val="32"/>
        </w:rPr>
        <w:t>万元，其中：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spacing w:val="-1"/>
          <w:kern w:val="0"/>
          <w:sz w:val="32"/>
          <w:szCs w:val="32"/>
          <w:lang w:val="en-US" w:eastAsia="zh-CN"/>
        </w:rPr>
        <w:t>574.16</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24.03</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kern w:val="0"/>
          <w:sz w:val="32"/>
          <w:szCs w:val="32"/>
          <w:lang w:val="en-US" w:eastAsia="zh-CN"/>
        </w:rPr>
      </w:pPr>
      <w:r>
        <w:rPr>
          <w:rFonts w:hint="eastAsia" w:ascii="仿宋_GB2312" w:hAnsi="仿宋_GB2312" w:eastAsia="仿宋_GB2312" w:cs="仿宋_GB2312"/>
          <w:kern w:val="0"/>
          <w:sz w:val="32"/>
          <w:szCs w:val="32"/>
          <w:lang w:eastAsia="zh-CN"/>
        </w:rPr>
        <w:t>李万街道办事处</w:t>
      </w:r>
      <w:r>
        <w:rPr>
          <w:rFonts w:hint="eastAsia" w:ascii="仿宋_GB2312" w:hAnsi="仿宋_GB2312" w:eastAsia="仿宋_GB2312" w:cs="仿宋_GB2312"/>
          <w:kern w:val="0"/>
          <w:sz w:val="32"/>
          <w:szCs w:val="32"/>
        </w:rPr>
        <w:t>2018年</w:t>
      </w:r>
      <w:r>
        <w:rPr>
          <w:rFonts w:hint="eastAsia" w:ascii="仿宋_GB2312" w:hAnsi="仿宋_GB2312" w:eastAsia="仿宋_GB2312" w:cs="仿宋_GB2312"/>
          <w:kern w:val="0"/>
          <w:sz w:val="32"/>
          <w:szCs w:val="32"/>
          <w:lang w:eastAsia="zh-CN"/>
        </w:rPr>
        <w:t>没有使用政</w:t>
      </w:r>
      <w:r>
        <w:rPr>
          <w:rFonts w:hint="eastAsia" w:ascii="仿宋_GB2312" w:hAnsi="仿宋_GB2312" w:eastAsia="仿宋_GB2312" w:cs="仿宋_GB2312"/>
          <w:kern w:val="0"/>
          <w:sz w:val="32"/>
          <w:szCs w:val="32"/>
        </w:rPr>
        <w:t>府性基金预算</w:t>
      </w:r>
      <w:r>
        <w:rPr>
          <w:rFonts w:hint="eastAsia" w:ascii="仿宋_GB2312" w:hAnsi="仿宋_GB2312" w:eastAsia="仿宋_GB2312" w:cs="仿宋_GB2312"/>
          <w:kern w:val="0"/>
          <w:sz w:val="32"/>
          <w:szCs w:val="32"/>
          <w:lang w:eastAsia="zh-CN"/>
        </w:rPr>
        <w:t>拨款安排的支出。</w:t>
      </w:r>
      <w:r>
        <w:rPr>
          <w:rFonts w:hint="eastAsia" w:ascii="仿宋_GB2312" w:hAnsi="仿宋_GB2312" w:eastAsia="仿宋_GB2312" w:cs="仿宋_GB2312"/>
          <w:kern w:val="0"/>
          <w:sz w:val="32"/>
          <w:szCs w:val="32"/>
          <w:lang w:val="en-US" w:eastAsia="zh-CN"/>
        </w:rPr>
        <w:t xml:space="preserve">  </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spacing w:line="560" w:lineRule="exact"/>
        <w:ind w:firstLine="624" w:firstLineChars="200"/>
        <w:rPr>
          <w:rFonts w:hint="eastAsia" w:ascii="仿宋_GB2312" w:hAnsi="仿宋_GB2312" w:eastAsia="仿宋_GB2312" w:cs="仿宋_GB2312"/>
          <w:color w:val="FF0000"/>
          <w:sz w:val="32"/>
          <w:szCs w:val="32"/>
        </w:rPr>
      </w:pPr>
      <w:r>
        <w:rPr>
          <w:rFonts w:hint="eastAsia" w:ascii="仿宋_GB2312" w:hAnsi="仿宋_GB2312" w:eastAsia="仿宋_GB2312" w:cs="仿宋_GB2312"/>
          <w:kern w:val="0"/>
          <w:sz w:val="32"/>
          <w:szCs w:val="32"/>
          <w:lang w:eastAsia="zh-CN"/>
        </w:rPr>
        <w:t>李万街道办事处没有使用</w:t>
      </w:r>
      <w:r>
        <w:rPr>
          <w:rFonts w:hint="eastAsia" w:ascii="仿宋_GB2312" w:hAnsi="仿宋_GB2312" w:eastAsia="仿宋_GB2312" w:cs="仿宋_GB2312"/>
          <w:kern w:val="0"/>
          <w:sz w:val="32"/>
          <w:szCs w:val="32"/>
        </w:rPr>
        <w:t>2018年</w:t>
      </w:r>
      <w:r>
        <w:rPr>
          <w:rFonts w:hint="eastAsia" w:ascii="仿宋_GB2312" w:hAnsi="仿宋_GB2312" w:eastAsia="仿宋_GB2312" w:cs="仿宋_GB2312"/>
          <w:kern w:val="0"/>
          <w:sz w:val="32"/>
          <w:szCs w:val="32"/>
          <w:lang w:eastAsia="zh-CN"/>
        </w:rPr>
        <w:t>国有资金经营预算拨款安排的支出。</w:t>
      </w:r>
    </w:p>
    <w:p>
      <w:pPr>
        <w:numPr>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sz w:val="32"/>
          <w:szCs w:val="32"/>
          <w:lang w:val="en-US" w:eastAsia="zh-CN"/>
        </w:rPr>
        <w:t>6.58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7.8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sz w:val="32"/>
          <w:szCs w:val="32"/>
          <w:lang w:val="en-US" w:eastAsia="zh-CN"/>
        </w:rPr>
        <w:t>54.24</w:t>
      </w:r>
      <w:r>
        <w:rPr>
          <w:rFonts w:hint="eastAsia" w:ascii="仿宋_GB2312" w:hAnsi="仿宋_GB2312" w:eastAsia="仿宋_GB2312" w:cs="仿宋_GB2312"/>
          <w:kern w:val="0"/>
          <w:sz w:val="32"/>
          <w:szCs w:val="32"/>
          <w:lang w:val="en-US" w:eastAsia="zh-CN"/>
        </w:rPr>
        <w:t>%</w:t>
      </w:r>
      <w:r>
        <w:rPr>
          <w:rFonts w:hint="eastAsia" w:ascii="仿宋_GB2312" w:hAnsi="仿宋_GB2312" w:eastAsia="仿宋_GB2312" w:cs="仿宋_GB2312"/>
          <w:sz w:val="32"/>
          <w:szCs w:val="32"/>
        </w:rPr>
        <w:t>。</w:t>
      </w:r>
    </w:p>
    <w:p>
      <w:pPr>
        <w:numPr>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3"/>
        </w:numPr>
        <w:kinsoku w:val="0"/>
        <w:overflowPunct w:val="0"/>
        <w:autoSpaceDE w:val="0"/>
        <w:autoSpaceDN w:val="0"/>
        <w:adjustRightInd w:val="0"/>
        <w:snapToGrid w:val="0"/>
        <w:spacing w:line="360" w:lineRule="auto"/>
        <w:ind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0万元。</w:t>
      </w:r>
    </w:p>
    <w:p>
      <w:pPr>
        <w:numPr>
          <w:ilvl w:val="0"/>
          <w:numId w:val="3"/>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b/>
          <w:spacing w:val="-1"/>
          <w:kern w:val="0"/>
          <w:sz w:val="32"/>
          <w:szCs w:val="32"/>
          <w:lang w:val="en-US" w:eastAsia="zh-CN"/>
        </w:rPr>
        <w:t>5.2</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sz w:val="32"/>
          <w:szCs w:val="32"/>
          <w:lang w:val="en-US" w:eastAsia="zh-CN"/>
        </w:rPr>
        <w:t>0万元；</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 xml:space="preserve"> 5.2</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主要用于公务车辆的加油、保险及维修,比2017年减少6.12</w:t>
      </w:r>
      <w:r>
        <w:rPr>
          <w:rFonts w:hint="eastAsia" w:ascii="仿宋_GB2312" w:hAnsi="仿宋_GB2312" w:eastAsia="仿宋_GB2312" w:cs="仿宋_GB2312"/>
          <w:kern w:val="0"/>
          <w:sz w:val="32"/>
          <w:szCs w:val="32"/>
          <w:lang w:eastAsia="zh-CN"/>
        </w:rPr>
        <w:t>万元，较上年下降</w:t>
      </w:r>
      <w:r>
        <w:rPr>
          <w:rFonts w:hint="eastAsia" w:ascii="仿宋_GB2312" w:hAnsi="仿宋_GB2312" w:eastAsia="仿宋_GB2312" w:cs="仿宋_GB2312"/>
          <w:kern w:val="0"/>
          <w:sz w:val="32"/>
          <w:szCs w:val="32"/>
          <w:lang w:val="en-US" w:eastAsia="zh-CN"/>
        </w:rPr>
        <w:t>54.06%，主要原因：严格控制三公经费</w:t>
      </w:r>
      <w:r>
        <w:rPr>
          <w:rFonts w:hint="eastAsia" w:ascii="仿宋_GB2312" w:hAnsi="仿宋_GB2312" w:eastAsia="仿宋_GB2312" w:cs="仿宋_GB2312"/>
          <w:kern w:val="0"/>
          <w:sz w:val="32"/>
          <w:szCs w:val="32"/>
          <w:lang w:eastAsia="zh-CN"/>
        </w:rPr>
        <w:t>。</w:t>
      </w:r>
    </w:p>
    <w:p>
      <w:pPr>
        <w:spacing w:line="360" w:lineRule="auto"/>
        <w:ind w:firstLine="62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b/>
          <w:spacing w:val="-1"/>
          <w:kern w:val="0"/>
          <w:sz w:val="32"/>
          <w:szCs w:val="32"/>
          <w:lang w:val="en-US" w:eastAsia="zh-CN"/>
        </w:rPr>
        <w:t>1.38</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主要用于加班就餐</w:t>
      </w:r>
      <w:r>
        <w:rPr>
          <w:rFonts w:hint="eastAsia" w:ascii="仿宋_GB2312" w:hAnsi="仿宋_GB2312" w:eastAsia="仿宋_GB2312" w:cs="仿宋_GB2312"/>
          <w:kern w:val="0"/>
          <w:sz w:val="32"/>
          <w:szCs w:val="32"/>
          <w:lang w:eastAsia="zh-CN"/>
        </w:rPr>
        <w:t>，比</w:t>
      </w:r>
      <w:r>
        <w:rPr>
          <w:rFonts w:hint="eastAsia" w:ascii="仿宋_GB2312" w:hAnsi="仿宋_GB2312" w:eastAsia="仿宋_GB2312" w:cs="仿宋_GB2312"/>
          <w:kern w:val="0"/>
          <w:sz w:val="32"/>
          <w:szCs w:val="32"/>
          <w:lang w:val="en-US" w:eastAsia="zh-CN"/>
        </w:rPr>
        <w:t>2017年预算数减少1.68</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54.9%，主要原因：</w:t>
      </w:r>
      <w:r>
        <w:rPr>
          <w:rFonts w:hint="eastAsia" w:ascii="仿宋_GB2312" w:hAnsi="仿宋_GB2312" w:eastAsia="仿宋_GB2312" w:cs="仿宋_GB2312"/>
          <w:b w:val="0"/>
          <w:i w:val="0"/>
          <w:caps w:val="0"/>
          <w:color w:val="000000"/>
          <w:spacing w:val="0"/>
          <w:sz w:val="32"/>
          <w:szCs w:val="32"/>
          <w:shd w:val="clear" w:color="080000" w:fill="FFFFFF"/>
        </w:rPr>
        <w:t>深入贯彻中央“八项规定”精神等工作要求，</w:t>
      </w:r>
      <w:r>
        <w:rPr>
          <w:rFonts w:hint="eastAsia" w:ascii="仿宋_GB2312" w:hAnsi="仿宋_GB2312" w:eastAsia="仿宋_GB2312" w:cs="仿宋_GB2312"/>
          <w:b w:val="0"/>
          <w:i w:val="0"/>
          <w:caps w:val="0"/>
          <w:color w:val="000000"/>
          <w:spacing w:val="0"/>
          <w:sz w:val="32"/>
          <w:szCs w:val="32"/>
          <w:shd w:val="clear" w:color="080000" w:fill="FFFFFF"/>
          <w:lang w:val="en-US" w:eastAsia="zh-CN"/>
        </w:rPr>
        <w:t>大力压缩</w:t>
      </w:r>
      <w:r>
        <w:rPr>
          <w:rFonts w:hint="eastAsia" w:ascii="仿宋" w:hAnsi="仿宋" w:eastAsia="仿宋" w:cs="仿宋"/>
          <w:color w:val="000000"/>
          <w:sz w:val="32"/>
          <w:szCs w:val="32"/>
        </w:rPr>
        <w:t>“三公”经费</w:t>
      </w:r>
      <w:r>
        <w:rPr>
          <w:rFonts w:hint="eastAsia" w:ascii="仿宋" w:hAnsi="仿宋" w:eastAsia="仿宋" w:cs="仿宋"/>
          <w:color w:val="000000"/>
          <w:sz w:val="32"/>
          <w:szCs w:val="32"/>
          <w:lang w:eastAsia="zh-CN"/>
        </w:rPr>
        <w:t>。</w:t>
      </w:r>
      <w:r>
        <w:rPr>
          <w:rFonts w:hint="eastAsia" w:ascii="仿宋_GB2312" w:hAnsi="仿宋_GB2312" w:eastAsia="仿宋_GB2312" w:cs="仿宋_GB2312"/>
          <w:kern w:val="0"/>
          <w:sz w:val="32"/>
          <w:szCs w:val="32"/>
          <w:lang w:val="en-US" w:eastAsia="zh-CN"/>
        </w:rPr>
        <w:t>严格控制三公经费</w:t>
      </w:r>
      <w:r>
        <w:rPr>
          <w:rFonts w:hint="eastAsia" w:ascii="仿宋_GB2312" w:hAnsi="仿宋_GB2312" w:eastAsia="仿宋_GB2312" w:cs="仿宋_GB2312"/>
          <w:kern w:val="0"/>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李万街</w:t>
      </w:r>
      <w:bookmarkStart w:id="0" w:name="_GoBack"/>
      <w:bookmarkEnd w:id="0"/>
      <w:r>
        <w:rPr>
          <w:rFonts w:hint="eastAsia" w:ascii="仿宋_GB2312" w:hAnsi="仿宋_GB2312" w:eastAsia="仿宋_GB2312" w:cs="仿宋_GB2312"/>
          <w:sz w:val="32"/>
          <w:szCs w:val="32"/>
          <w:lang w:eastAsia="zh-CN"/>
        </w:rPr>
        <w:t>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sz w:val="32"/>
          <w:szCs w:val="32"/>
          <w:lang w:val="en-US" w:eastAsia="zh-CN"/>
        </w:rPr>
        <w:t>24.03</w:t>
      </w:r>
      <w:r>
        <w:rPr>
          <w:rFonts w:hint="eastAsia" w:ascii="仿宋_GB2312" w:hAnsi="仿宋_GB2312" w:eastAsia="仿宋_GB2312" w:cs="仿宋_GB2312"/>
          <w:sz w:val="32"/>
          <w:szCs w:val="32"/>
        </w:rPr>
        <w:t>万元，主要保障机关机构正常运转及正常履职需要的办公费、水电费、物业费、维修费、差旅费等支出</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2017年减少106.37</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81.57%</w:t>
      </w:r>
      <w:r>
        <w:rPr>
          <w:rFonts w:hint="eastAsia" w:ascii="仿宋_GB2312" w:hAnsi="仿宋_GB2312" w:eastAsia="仿宋_GB2312" w:cs="仿宋_GB2312"/>
          <w:kern w:val="0"/>
          <w:sz w:val="32"/>
          <w:szCs w:val="32"/>
          <w:lang w:eastAsia="zh-CN"/>
        </w:rPr>
        <w:t>，主要原因：</w:t>
      </w:r>
      <w:r>
        <w:rPr>
          <w:rFonts w:hint="eastAsia" w:ascii="仿宋_GB2312" w:hAnsi="仿宋_GB2312" w:eastAsia="仿宋_GB2312" w:cs="仿宋_GB2312"/>
          <w:b w:val="0"/>
          <w:i w:val="0"/>
          <w:caps w:val="0"/>
          <w:color w:val="3A3535"/>
          <w:spacing w:val="0"/>
          <w:sz w:val="32"/>
          <w:szCs w:val="32"/>
          <w:shd w:val="clear" w:color="080000" w:fill="FFFFFF"/>
        </w:rPr>
        <w:t>深入贯彻中央“八项规定”精神等工作要求，严格控制行政成本，大力压缩经费支出</w:t>
      </w:r>
      <w:r>
        <w:rPr>
          <w:rFonts w:hint="eastAsia" w:ascii="仿宋_GB2312" w:hAnsi="仿宋_GB2312" w:eastAsia="仿宋_GB2312" w:cs="仿宋_GB2312"/>
          <w:kern w:val="0"/>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numPr>
          <w:numId w:val="0"/>
        </w:numPr>
        <w:ind w:firstLine="624" w:firstLineChars="200"/>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2017</w:t>
      </w:r>
      <w:r>
        <w:rPr>
          <w:rFonts w:hint="eastAsia" w:ascii="仿宋_GB2312" w:hAnsi="仿宋_GB2312" w:eastAsia="仿宋_GB2312" w:cs="仿宋_GB2312"/>
          <w:color w:val="000000"/>
          <w:sz w:val="32"/>
          <w:szCs w:val="32"/>
        </w:rPr>
        <w:t>年</w:t>
      </w:r>
      <w:r>
        <w:rPr>
          <w:rFonts w:hint="eastAsia" w:ascii="仿宋_GB2312" w:hAnsi="仿宋_GB2312" w:eastAsia="仿宋_GB2312" w:cs="仿宋_GB2312"/>
          <w:color w:val="000000"/>
          <w:sz w:val="32"/>
          <w:szCs w:val="32"/>
          <w:lang w:val="en-US" w:eastAsia="zh-CN"/>
        </w:rPr>
        <w:t>,我部门对1</w:t>
      </w:r>
      <w:r>
        <w:rPr>
          <w:rFonts w:hint="eastAsia" w:ascii="仿宋_GB2312" w:hAnsi="仿宋_GB2312" w:eastAsia="仿宋_GB2312" w:cs="仿宋_GB2312"/>
          <w:color w:val="000000"/>
          <w:sz w:val="32"/>
          <w:szCs w:val="32"/>
        </w:rPr>
        <w:t>个项目进行了预算绩效评价，涉及资金</w:t>
      </w:r>
      <w:r>
        <w:rPr>
          <w:rFonts w:hint="eastAsia" w:ascii="仿宋_GB2312" w:hAnsi="仿宋_GB2312" w:eastAsia="仿宋_GB2312" w:cs="仿宋_GB2312"/>
          <w:color w:val="000000"/>
          <w:sz w:val="32"/>
          <w:szCs w:val="32"/>
          <w:lang w:val="en-US" w:eastAsia="zh-CN"/>
        </w:rPr>
        <w:t>120</w:t>
      </w:r>
      <w:r>
        <w:rPr>
          <w:rFonts w:hint="eastAsia" w:ascii="仿宋_GB2312" w:hAnsi="仿宋_GB2312" w:eastAsia="仿宋_GB2312" w:cs="仿宋_GB2312"/>
          <w:color w:val="000000"/>
          <w:sz w:val="32"/>
          <w:szCs w:val="32"/>
        </w:rPr>
        <w:t>万元。</w:t>
      </w:r>
      <w:r>
        <w:rPr>
          <w:rFonts w:hint="eastAsia"/>
          <w:color w:val="000000"/>
          <w:sz w:val="28"/>
          <w:szCs w:val="28"/>
          <w:lang w:val="en-US" w:eastAsia="zh-CN"/>
        </w:rPr>
        <w:t xml:space="preserve"> </w:t>
      </w:r>
      <w:r>
        <w:rPr>
          <w:rFonts w:hint="eastAsia" w:ascii="仿宋_GB2312" w:hAnsi="仿宋_GB2312" w:eastAsia="仿宋_GB2312" w:cs="仿宋_GB2312"/>
          <w:sz w:val="32"/>
          <w:szCs w:val="32"/>
          <w:lang w:val="en-US" w:eastAsia="zh-CN"/>
        </w:rPr>
        <w:t>2018年，我部门纳入预算绩效管理的支出总额为</w:t>
      </w:r>
      <w:r>
        <w:rPr>
          <w:rFonts w:hint="eastAsia" w:ascii="宋体" w:hAnsi="宋体" w:eastAsia="宋体" w:cs="宋体"/>
          <w:kern w:val="0"/>
          <w:sz w:val="24"/>
          <w:szCs w:val="24"/>
          <w:lang w:val="en-US" w:eastAsia="zh-CN"/>
        </w:rPr>
        <w:t xml:space="preserve"> </w:t>
      </w:r>
      <w:r>
        <w:rPr>
          <w:rFonts w:hint="eastAsia" w:ascii="宋体" w:hAnsi="宋体" w:cs="宋体"/>
          <w:kern w:val="0"/>
          <w:sz w:val="24"/>
          <w:szCs w:val="24"/>
          <w:lang w:val="en-US" w:eastAsia="zh-CN"/>
        </w:rPr>
        <w:t>718.19</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color w:val="000000"/>
          <w:sz w:val="32"/>
          <w:szCs w:val="32"/>
          <w:lang w:val="en-US" w:eastAsia="zh-CN"/>
        </w:rPr>
        <w:t>其中人员经费支出574.16万元，公用经费支出24.03万元。项目支出120万元。</w:t>
      </w:r>
    </w:p>
    <w:p>
      <w:pPr>
        <w:numPr>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widowControl/>
        <w:spacing w:line="360" w:lineRule="auto"/>
        <w:ind w:firstLine="624"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017年期末，</w:t>
      </w:r>
      <w:r>
        <w:rPr>
          <w:rFonts w:hint="eastAsia" w:ascii="仿宋_GB2312" w:hAnsi="仿宋_GB2312" w:eastAsia="仿宋_GB2312" w:cs="仿宋_GB2312"/>
          <w:color w:val="000000"/>
          <w:kern w:val="0"/>
          <w:sz w:val="32"/>
          <w:szCs w:val="32"/>
          <w:lang w:eastAsia="zh-CN"/>
        </w:rPr>
        <w:t>李万街道办事处固定资产总额</w:t>
      </w:r>
      <w:r>
        <w:rPr>
          <w:rFonts w:hint="eastAsia" w:ascii="仿宋_GB2312" w:hAnsi="仿宋_GB2312" w:eastAsia="仿宋_GB2312" w:cs="仿宋_GB2312"/>
          <w:color w:val="000000"/>
          <w:kern w:val="0"/>
          <w:sz w:val="32"/>
          <w:szCs w:val="32"/>
          <w:lang w:val="en-US" w:eastAsia="zh-CN"/>
        </w:rPr>
        <w:t>107.82</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kern w:val="0"/>
          <w:sz w:val="32"/>
          <w:szCs w:val="32"/>
          <w:lang w:eastAsia="zh-CN"/>
        </w:rPr>
        <w:t>其中，房屋建筑物</w:t>
      </w:r>
      <w:r>
        <w:rPr>
          <w:rFonts w:hint="eastAsia" w:ascii="仿宋_GB2312" w:hAnsi="仿宋_GB2312" w:eastAsia="仿宋_GB2312" w:cs="仿宋_GB2312"/>
          <w:kern w:val="0"/>
          <w:sz w:val="32"/>
          <w:szCs w:val="32"/>
          <w:lang w:val="en-US" w:eastAsia="zh-CN"/>
        </w:rPr>
        <w:t>0万元，</w:t>
      </w:r>
      <w:r>
        <w:rPr>
          <w:rFonts w:hint="eastAsia" w:ascii="仿宋" w:hAnsi="仿宋" w:eastAsia="仿宋" w:cs="仿宋"/>
          <w:color w:val="000000"/>
          <w:kern w:val="0"/>
          <w:sz w:val="32"/>
          <w:szCs w:val="32"/>
          <w:lang w:val="en-US" w:eastAsia="zh-CN"/>
        </w:rPr>
        <w:t>无单价50万元以上通用设备及单价100万元以上专用设备，其他固定资产87.03万元，</w:t>
      </w:r>
      <w:r>
        <w:rPr>
          <w:rFonts w:hint="eastAsia" w:ascii="仿宋_GB2312" w:hAnsi="仿宋_GB2312" w:eastAsia="仿宋_GB2312" w:cs="仿宋_GB2312"/>
          <w:kern w:val="0"/>
          <w:sz w:val="32"/>
          <w:szCs w:val="32"/>
          <w:lang w:val="en-US" w:eastAsia="zh-CN"/>
        </w:rPr>
        <w:t>车辆20.79</w:t>
      </w:r>
      <w:r>
        <w:rPr>
          <w:rFonts w:hint="eastAsia" w:ascii="仿宋_GB2312" w:hAnsi="仿宋_GB2312" w:eastAsia="仿宋_GB2312" w:cs="仿宋_GB2312"/>
          <w:kern w:val="0"/>
          <w:sz w:val="32"/>
          <w:szCs w:val="32"/>
          <w:lang w:eastAsia="zh-CN"/>
        </w:rPr>
        <w:t>元。</w:t>
      </w:r>
      <w:r>
        <w:rPr>
          <w:rFonts w:hint="eastAsia" w:ascii="仿宋_GB2312" w:hAnsi="仿宋_GB2312" w:eastAsia="仿宋_GB2312" w:cs="仿宋_GB2312"/>
          <w:kern w:val="0"/>
          <w:sz w:val="32"/>
          <w:szCs w:val="32"/>
        </w:rPr>
        <w:t>共有车辆</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辆，其中：一般公务用车</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辆</w:t>
      </w:r>
      <w:r>
        <w:rPr>
          <w:rFonts w:hint="eastAsia" w:ascii="仿宋_GB2312" w:hAnsi="宋体" w:eastAsia="仿宋_GB2312" w:cs="仿宋_GB2312"/>
          <w:sz w:val="32"/>
          <w:szCs w:val="32"/>
        </w:rPr>
        <w:t>。</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kern w:val="0"/>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eastAsia="zh-CN"/>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eastAsia="zh-CN"/>
        </w:rPr>
        <w:t>李万街道办事处</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 10 月 9 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1"/>
    <w:family w:val="auto"/>
    <w:pitch w:val="default"/>
    <w:sig w:usb0="E0002AFF" w:usb1="C000247B" w:usb2="00000009" w:usb3="00000000" w:csb0="200001FF" w:csb1="00000000"/>
  </w:font>
  <w:font w:name="仿宋_GB2312">
    <w:altName w:val="仿宋"/>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auto"/>
    <w:pitch w:val="default"/>
    <w:sig w:usb0="00000001" w:usb1="080E0000" w:usb2="00000010" w:usb3="00000000" w:csb0="00040000" w:csb1="00000000"/>
  </w:font>
  <w:font w:name="楷体_GB2312">
    <w:altName w:val="楷体"/>
    <w:panose1 w:val="02010609030101010101"/>
    <w:charset w:val="86"/>
    <w:family w:val="auto"/>
    <w:pitch w:val="default"/>
    <w:sig w:usb0="00000001" w:usb1="080E0000" w:usb2="00000010" w:usb3="00000000" w:csb0="00040000" w:csb1="00000000"/>
  </w:font>
  <w:font w:name="Cambria">
    <w:panose1 w:val="02040503050406030204"/>
    <w:charset w:val="00"/>
    <w:family w:val="auto"/>
    <w:pitch w:val="default"/>
    <w:sig w:usb0="E00006FF" w:usb1="420024FF" w:usb2="02000000" w:usb3="00000000" w:csb0="2000019F" w:csb1="00000000"/>
  </w:font>
  <w:font w:name="楷体">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宋体">
    <w:panose1 w:val="02010600030101010101"/>
    <w:charset w:val="86"/>
    <w:family w:val="auto"/>
    <w:pitch w:val="default"/>
    <w:sig w:usb0="00000003" w:usb1="288F0000" w:usb2="00000006" w:usb3="00000000" w:csb0="00040001" w:csb1="00000000"/>
  </w:font>
  <w:font w:name="@仿宋">
    <w:panose1 w:val="02010609060101010101"/>
    <w:charset w:val="86"/>
    <w:family w:val="auto"/>
    <w:pitch w:val="default"/>
    <w:sig w:usb0="800002BF" w:usb1="38CF7CFA" w:usb2="00000016" w:usb3="00000000" w:csb0="00040001" w:csb1="00000000"/>
  </w:font>
  <w:font w:name="@黑体">
    <w:panose1 w:val="02010609060101010101"/>
    <w:charset w:val="86"/>
    <w:family w:val="auto"/>
    <w:pitch w:val="default"/>
    <w:sig w:usb0="800002BF" w:usb1="38CF7CFA" w:usb2="00000016" w:usb3="00000000" w:csb0="00040001" w:csb1="00000000"/>
  </w:font>
  <w:font w:name="@华文中宋">
    <w:altName w:val="宋体"/>
    <w:panose1 w:val="00000000000000000000"/>
    <w:charset w:val="00"/>
    <w:family w:val="auto"/>
    <w:pitch w:val="default"/>
    <w:sig w:usb0="00000287" w:usb1="080F0000" w:usb2="00000010" w:usb3="00000000" w:csb0="0004009F" w:csb1="00000000"/>
  </w:font>
  <w:font w:name="@楷体_GB2312">
    <w:altName w:val="宋体"/>
    <w:panose1 w:val="00000000000000000000"/>
    <w:charset w:val="86"/>
    <w:family w:val="auto"/>
    <w:pitch w:val="default"/>
    <w:sig w:usb0="00000001" w:usb1="080E0000" w:usb2="00000010" w:usb3="00000000" w:csb0="00040000" w:csb1="00000000"/>
  </w:font>
  <w:font w:name="@仿宋_GB2312">
    <w:altName w:val="仿宋"/>
    <w:panose1 w:val="00000000000000000000"/>
    <w:charset w:val="86"/>
    <w:family w:val="auto"/>
    <w:pitch w:val="default"/>
    <w:sig w:usb0="00000001" w:usb1="080E0000" w:usb2="00000010" w:usb3="00000000" w:csb0="00040000" w:csb1="00000000"/>
  </w:font>
  <w:font w:name="Arial Unicode MS">
    <w:altName w:val="宋体"/>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5138474">
    <w:nsid w:val="5A4F2DAA"/>
    <w:multiLevelType w:val="singleLevel"/>
    <w:tmpl w:val="5A4F2DAA"/>
    <w:lvl w:ilvl="0" w:tentative="1">
      <w:start w:val="1"/>
      <w:numFmt w:val="chineseCounting"/>
      <w:suff w:val="nothing"/>
      <w:lvlText w:val="（%1）"/>
      <w:lvlJc w:val="left"/>
    </w:lvl>
  </w:abstractNum>
  <w:abstractNum w:abstractNumId="1536565377">
    <w:nsid w:val="5B962081"/>
    <w:multiLevelType w:val="singleLevel"/>
    <w:tmpl w:val="5B962081"/>
    <w:lvl w:ilvl="0" w:tentative="1">
      <w:start w:val="2"/>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num w:numId="1">
    <w:abstractNumId w:val="1517907436"/>
  </w:num>
  <w:num w:numId="2">
    <w:abstractNumId w:val="1536565377"/>
  </w:num>
  <w:num w:numId="3">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2018-11-02T00:22:51Z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