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焦作市城乡一体化示范区文昌街道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办事处部门</w:t>
      </w: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both"/>
        <w:rPr>
          <w:rFonts w:hint="eastAsia" w:ascii="仿宋_GB2312" w:hAnsi="仿宋_GB2312" w:eastAsia="仿宋_GB2312" w:cs="仿宋_GB2312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36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54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54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36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焦作市城乡一体化示范区文昌街道办事处部门2018年部门预算情况说明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36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焦作市城乡一体化示范区文昌街道办事处部门2018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908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816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816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816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焦作市城乡一体化示范区文昌街道办事处部门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36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36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pStyle w:val="4"/>
        <w:spacing w:line="600" w:lineRule="exact"/>
        <w:ind w:firstLine="639"/>
        <w:rPr>
          <w:rFonts w:hint="eastAsia" w:ascii="楷体_GB2312" w:eastAsia="楷体_GB2312"/>
          <w:sz w:val="34"/>
          <w:szCs w:val="34"/>
        </w:rPr>
      </w:pPr>
      <w:r>
        <w:rPr>
          <w:rFonts w:hint="eastAsia" w:ascii="楷体_GB2312" w:eastAsia="楷体_GB2312"/>
          <w:sz w:val="34"/>
          <w:szCs w:val="34"/>
          <w:lang w:val="en-US" w:eastAsia="zh-CN"/>
        </w:rPr>
        <w:t>1</w:t>
      </w:r>
      <w:r>
        <w:rPr>
          <w:rFonts w:hint="eastAsia" w:ascii="楷体_GB2312" w:eastAsia="楷体_GB2312"/>
          <w:sz w:val="34"/>
          <w:szCs w:val="34"/>
          <w:lang w:eastAsia="zh-CN"/>
        </w:rPr>
        <w:t>、</w:t>
      </w:r>
      <w:r>
        <w:rPr>
          <w:rFonts w:hint="eastAsia" w:ascii="楷体_GB2312" w:eastAsia="楷体_GB2312"/>
          <w:sz w:val="34"/>
          <w:szCs w:val="34"/>
        </w:rPr>
        <w:t>行政机构</w:t>
      </w:r>
    </w:p>
    <w:p>
      <w:pPr>
        <w:pStyle w:val="4"/>
        <w:spacing w:line="600" w:lineRule="exact"/>
        <w:ind w:firstLine="676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  <w:lang w:eastAsia="zh-CN"/>
        </w:rPr>
        <w:t>文昌</w:t>
      </w:r>
      <w:r>
        <w:rPr>
          <w:rFonts w:hint="eastAsia" w:ascii="仿宋_GB2312" w:eastAsia="仿宋_GB2312"/>
          <w:sz w:val="34"/>
          <w:szCs w:val="34"/>
        </w:rPr>
        <w:t>办事处机关内设三个综合办事机构，分别为：党政办公室（挂社会治安综合治理办公室牌子）、社会事务办公室（挂人口和计划生育办公室牌子）、经济发展办公室，机构规格均为股级。</w:t>
      </w:r>
    </w:p>
    <w:p>
      <w:pPr>
        <w:pStyle w:val="4"/>
        <w:spacing w:line="600" w:lineRule="exact"/>
        <w:ind w:firstLine="676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楷体_GB2312" w:eastAsia="楷体_GB2312"/>
          <w:sz w:val="34"/>
          <w:szCs w:val="34"/>
          <w:lang w:val="en-US" w:eastAsia="zh-CN"/>
        </w:rPr>
        <w:t>2、</w:t>
      </w:r>
      <w:r>
        <w:rPr>
          <w:rFonts w:hint="eastAsia" w:ascii="楷体_GB2312" w:eastAsia="楷体_GB2312"/>
          <w:sz w:val="34"/>
          <w:szCs w:val="34"/>
        </w:rPr>
        <w:t>事业机构</w:t>
      </w:r>
    </w:p>
    <w:p>
      <w:pPr>
        <w:numPr>
          <w:ilvl w:val="0"/>
          <w:numId w:val="0"/>
        </w:numPr>
        <w:ind w:firstLine="676" w:firstLineChars="200"/>
        <w:jc w:val="lef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4"/>
          <w:szCs w:val="34"/>
        </w:rPr>
        <w:t>办事处下设一个事业单位：焦作市城乡一体化示范区文昌街道社会发展服务中心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0" w:leftChars="0" w:right="3569" w:firstLine="636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numPr>
          <w:ilvl w:val="0"/>
          <w:numId w:val="0"/>
        </w:numPr>
        <w:ind w:firstLine="676" w:firstLineChars="200"/>
        <w:jc w:val="left"/>
        <w:rPr>
          <w:rFonts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sz w:val="34"/>
          <w:szCs w:val="34"/>
        </w:rPr>
        <w:t>1、研究和制定街道经济发展规划。</w:t>
      </w:r>
    </w:p>
    <w:p>
      <w:pPr>
        <w:pStyle w:val="4"/>
        <w:spacing w:line="600" w:lineRule="exact"/>
        <w:ind w:firstLine="676" w:firstLineChars="200"/>
        <w:rPr>
          <w:rFonts w:hint="eastAsia" w:ascii="仿宋_GB2312" w:eastAsia="仿宋_GB2312"/>
          <w:sz w:val="34"/>
          <w:szCs w:val="34"/>
          <w:lang w:val="en-US" w:eastAsia="zh-CN"/>
        </w:rPr>
      </w:pPr>
      <w:r>
        <w:rPr>
          <w:rFonts w:hint="eastAsia" w:ascii="仿宋_GB2312" w:eastAsia="仿宋_GB2312"/>
          <w:sz w:val="34"/>
          <w:szCs w:val="34"/>
        </w:rPr>
        <w:t>2、指导协调村委会、居委会搞好农村和社区建设。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</w:t>
      </w:r>
    </w:p>
    <w:p>
      <w:pPr>
        <w:pStyle w:val="4"/>
        <w:spacing w:line="600" w:lineRule="exact"/>
        <w:ind w:firstLine="676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3、负责做好街道城市建设与城市管理工作，指导农村、社区做好环境卫生管理工作。</w:t>
      </w:r>
    </w:p>
    <w:p>
      <w:pPr>
        <w:pStyle w:val="4"/>
        <w:spacing w:line="600" w:lineRule="exact"/>
        <w:ind w:firstLine="67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4"/>
          <w:szCs w:val="34"/>
        </w:rPr>
        <w:t>4、负责做好</w:t>
      </w:r>
      <w:r>
        <w:rPr>
          <w:rFonts w:hint="eastAsia" w:ascii="仿宋_GB2312" w:hAnsi="仿宋_GB2312" w:eastAsia="仿宋_GB2312" w:cs="仿宋_GB2312"/>
          <w:sz w:val="32"/>
          <w:szCs w:val="32"/>
        </w:rPr>
        <w:t>辖区计划生育管理工作，控制人口增长。</w:t>
      </w:r>
    </w:p>
    <w:p>
      <w:pPr>
        <w:pStyle w:val="4"/>
        <w:spacing w:line="600" w:lineRule="exact"/>
        <w:ind w:firstLine="636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5、指导协调辖区各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没有专项资金不参加考核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单位和农村村委会、社区居委会搞好社会治安综合治理和精神文明建设工作</w:t>
      </w:r>
      <w:r>
        <w:rPr>
          <w:rFonts w:hint="eastAsia" w:ascii="仿宋_GB2312" w:eastAsia="仿宋_GB2312"/>
          <w:sz w:val="34"/>
          <w:szCs w:val="34"/>
        </w:rPr>
        <w:t>。</w:t>
      </w:r>
    </w:p>
    <w:p>
      <w:pPr>
        <w:pStyle w:val="4"/>
        <w:spacing w:line="600" w:lineRule="exact"/>
        <w:ind w:firstLine="676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6、完成区党工委、管委会交办的其他任务。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leftChars="200" w:right="3569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240" w:lineRule="auto"/>
        <w:ind w:right="0" w:firstLine="954" w:firstLineChars="30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二、焦作市城乡一体化示范区文昌街道办事处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部门预算单位构成</w:t>
      </w:r>
    </w:p>
    <w:p>
      <w:pPr>
        <w:widowControl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文昌办事处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有二级预算单位0个，三级预算单位0个。本单位是一级预算单位。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240" w:lineRule="auto"/>
        <w:ind w:right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sectPr>
          <w:pgSz w:w="11906" w:h="16838"/>
          <w:pgMar w:top="1701" w:right="1701" w:bottom="1701" w:left="1701" w:header="851" w:footer="992" w:gutter="0"/>
          <w:paperSrc/>
          <w:cols w:space="0" w:num="1"/>
          <w:rtlGutter w:val="0"/>
          <w:docGrid w:type="linesAndChars" w:linePitch="315" w:charSpace="-530"/>
        </w:sect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焦作市城乡一体化示范区文昌街道办事处部门2018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部门预算情况说明</w:t>
      </w:r>
    </w:p>
    <w:p>
      <w:pPr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36" w:firstLineChars="200"/>
        <w:rPr>
          <w:rFonts w:hint="eastAsia" w:ascii="Arial" w:hAnsi="Arial" w:eastAsia="仿宋_GB2312" w:cs="Arial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文昌办事处部门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年相比，收、支总计各增加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242.96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31.77%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正常工资晋级、涨资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Arial" w:hAnsi="Arial" w:eastAsia="仿宋_GB2312" w:cs="Arial"/>
          <w:color w:val="auto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文昌办事处部门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政府性基金预算收入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国有资本经营预算收入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万元；其他收入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</w:t>
      </w:r>
      <w:r>
        <w:rPr>
          <w:rFonts w:hint="eastAsia" w:ascii="Arial" w:hAnsi="Arial" w:eastAsia="仿宋_GB2312" w:cs="Arial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36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文昌办事处部门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644.68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84.31%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15.69%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36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文昌办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事处部门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政府性基金收支预算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年相比，一般公共预算收支预算增加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242.96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31.77%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人员经费增加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。无政府性基金预算。</w:t>
      </w:r>
    </w:p>
    <w:p>
      <w:pPr>
        <w:spacing w:line="560" w:lineRule="exact"/>
        <w:ind w:firstLine="636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文昌办事处部门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764.68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137.4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17.96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城乡社区支出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627.28万元，占82.04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</w:p>
    <w:p>
      <w:pPr>
        <w:spacing w:line="560" w:lineRule="exact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文昌办事处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644.68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616.6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基本工资、津贴补贴、奖金、绩效工资、机关事业单位基本养老保险缴费、职业年金缴费、医疗保险缴费、其他社会保障缴费、住房公积金、其他工资福利支出、离休费、退休费、其他对个人和家庭的补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28.08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福利费、公务用车运行维护费、其他交通费用、其他商品和服务支出、办公设备购置、信息网络及软件购置更新、其他支出。</w:t>
      </w:r>
    </w:p>
    <w:p>
      <w:pPr>
        <w:spacing w:line="560" w:lineRule="exact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360" w:lineRule="auto"/>
        <w:ind w:firstLine="636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36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算情况说明</w:t>
      </w:r>
    </w:p>
    <w:p>
      <w:pPr>
        <w:spacing w:line="560" w:lineRule="exact"/>
        <w:ind w:firstLine="636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我单位2018年没有使用政国有资本经营预算拨款安排的支出。</w:t>
      </w:r>
    </w:p>
    <w:p>
      <w:pPr>
        <w:numPr>
          <w:ilvl w:val="0"/>
          <w:numId w:val="0"/>
        </w:numPr>
        <w:spacing w:line="560" w:lineRule="exact"/>
        <w:ind w:firstLine="636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、“三公”经费支出预算情况说明</w:t>
      </w:r>
    </w:p>
    <w:p>
      <w:pPr>
        <w:widowControl/>
        <w:ind w:firstLine="636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文昌办事处部门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2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万元。与2017年持平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32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维修、燃油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,比2017年减少1.9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11.8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%，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32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0.72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主要用于业务接待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2017年预算数减少0.19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20.87%，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文昌办事处部门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28.08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公费、水电费、物业费、维修费、差旅费等支出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2017年减少0.04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0.01%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2018年政府采购预算安排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leftChars="200" w:firstLine="636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2017年，我部门对1个项目进行了预算绩效评价，涉及资金50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2018年，我部门纳入预算绩效管理的支出总额为764.68万元，其中人员经费支出616.6万元，公用经费支出28.08万元，支出项目120万元。</w:t>
      </w:r>
    </w:p>
    <w:p>
      <w:pPr>
        <w:numPr>
          <w:ilvl w:val="0"/>
          <w:numId w:val="0"/>
        </w:numPr>
        <w:ind w:leftChars="200" w:firstLine="636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文昌办事处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272.43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139.26万元，车辆97.91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辆，执法执勤车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其他车辆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36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办事处部门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36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1701" w:right="1701" w:bottom="1701" w:left="1701" w:header="851" w:footer="992" w:gutter="0"/>
      <w:paperSrc/>
      <w:cols w:space="0" w:num="1"/>
      <w:rtlGutter w:val="0"/>
      <w:docGrid w:type="linesAndChars" w:linePitch="315" w:charSpace="-5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97D72A"/>
    <w:multiLevelType w:val="singleLevel"/>
    <w:tmpl w:val="F897D72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4"/>
  <w:drawingGridVerticalSpacing w:val="158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80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character" w:customStyle="1" w:styleId="5">
    <w:name w:val="font21"/>
    <w:basedOn w:val="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文昌人社所</cp:lastModifiedBy>
  <cp:lastPrinted>2018-08-06T00:36:00Z</cp:lastPrinted>
  <dcterms:modified xsi:type="dcterms:W3CDTF">2018-12-27T12:07:35Z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