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文苑街道办事处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文苑街道办事处2018年部门预算情况说明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文苑街道办事处2018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 w:val="0"/>
        <w:wordWrap/>
        <w:adjustRightInd w:val="0"/>
        <w:snapToGrid w:val="0"/>
        <w:spacing w:before="0" w:after="0" w:line="600" w:lineRule="exact"/>
        <w:ind w:left="0" w:leftChars="0" w:firstLine="3744" w:firstLineChars="1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widowControl w:val="0"/>
        <w:wordWrap/>
        <w:adjustRightInd w:val="0"/>
        <w:snapToGrid w:val="0"/>
        <w:spacing w:before="0" w:after="0" w:line="60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文苑街道办事处部门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widowControl w:val="0"/>
        <w:wordWrap/>
        <w:adjustRightInd w:val="0"/>
        <w:snapToGrid w:val="0"/>
        <w:spacing w:before="0" w:after="0" w:line="600" w:lineRule="exact"/>
        <w:ind w:left="0" w:leftChars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1"/>
        </w:num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widowControl w:val="0"/>
        <w:numPr>
          <w:ilvl w:val="0"/>
          <w:numId w:val="2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3569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widowControl w:val="0"/>
        <w:numPr>
          <w:numId w:val="0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文苑街道办事处</w:t>
      </w:r>
      <w:r>
        <w:rPr>
          <w:rFonts w:hint="eastAsia" w:ascii="仿宋_GB2312" w:eastAsia="仿宋_GB2312"/>
          <w:sz w:val="32"/>
          <w:szCs w:val="32"/>
        </w:rPr>
        <w:t>下设党政办、社会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eastAsia="仿宋_GB2312"/>
          <w:sz w:val="32"/>
          <w:szCs w:val="32"/>
        </w:rPr>
        <w:t>服务中心、城市管理办公室、财政所、民政</w:t>
      </w:r>
      <w:r>
        <w:rPr>
          <w:rFonts w:hint="eastAsia" w:ascii="仿宋_GB2312" w:eastAsia="仿宋_GB2312"/>
          <w:sz w:val="32"/>
          <w:szCs w:val="32"/>
          <w:lang w:eastAsia="zh-CN"/>
        </w:rPr>
        <w:t>所、人力资源社会</w:t>
      </w:r>
      <w:r>
        <w:rPr>
          <w:rFonts w:hint="eastAsia" w:ascii="仿宋_GB2312" w:eastAsia="仿宋_GB2312"/>
          <w:sz w:val="32"/>
          <w:szCs w:val="32"/>
        </w:rPr>
        <w:t>保障所、</w:t>
      </w:r>
      <w:r>
        <w:rPr>
          <w:rFonts w:hint="eastAsia" w:ascii="仿宋_GB2312" w:eastAsia="仿宋_GB2312"/>
          <w:sz w:val="32"/>
          <w:szCs w:val="32"/>
          <w:lang w:eastAsia="zh-CN"/>
        </w:rPr>
        <w:t>社会事务管理</w:t>
      </w:r>
      <w:r>
        <w:rPr>
          <w:rFonts w:hint="eastAsia" w:ascii="仿宋_GB2312" w:eastAsia="仿宋_GB2312"/>
          <w:sz w:val="32"/>
          <w:szCs w:val="32"/>
        </w:rPr>
        <w:t>办公室、群众工作站、项目办等部门。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本决算为文苑街道办事处本级预算。</w:t>
      </w:r>
    </w:p>
    <w:p>
      <w:pPr>
        <w:widowControl w:val="0"/>
        <w:numPr>
          <w:ilvl w:val="0"/>
          <w:numId w:val="2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3569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widowControl w:val="0"/>
        <w:wordWrap/>
        <w:spacing w:before="0" w:after="0" w:line="600" w:lineRule="exact"/>
        <w:ind w:left="0" w:leftChars="0" w:firstLineChars="200"/>
        <w:textAlignment w:val="auto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（一）研究和制定街道经济发展规划。积极引进项目，搞好项目进区服务，大力发展三产，培植涵养税源，促进街道经济的发展，保证财政收入稳步增长。</w:t>
      </w:r>
    </w:p>
    <w:p>
      <w:pPr>
        <w:widowControl w:val="0"/>
        <w:wordWrap/>
        <w:spacing w:before="0" w:after="0" w:line="600" w:lineRule="exact"/>
        <w:ind w:left="0" w:leftChars="0" w:firstLineChars="200"/>
        <w:textAlignment w:val="auto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（二）指导协调村委会、居委会搞好农村和社区建设。抓好农村和社区党建，加强基层组织建设；完善社会服务网络，开展社会公共服务，开展群众文体活动，丰富人民文化生活。</w:t>
      </w:r>
    </w:p>
    <w:p>
      <w:pPr>
        <w:widowControl w:val="0"/>
        <w:wordWrap/>
        <w:spacing w:before="0" w:after="0" w:line="600" w:lineRule="exact"/>
        <w:ind w:left="0" w:leftChars="0" w:firstLineChars="200"/>
        <w:textAlignment w:val="auto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（三）负责做好街道城市建设与城市管理工作，指导农村、社区做好环境卫生管理工作。</w:t>
      </w:r>
    </w:p>
    <w:p>
      <w:pPr>
        <w:widowControl w:val="0"/>
        <w:wordWrap/>
        <w:spacing w:before="0" w:after="0" w:line="600" w:lineRule="exact"/>
        <w:ind w:left="0" w:leftChars="0" w:firstLineChars="200"/>
        <w:textAlignment w:val="auto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（四）负责做好辖区计划生育管理工作，控制人口增长。</w:t>
      </w:r>
    </w:p>
    <w:p>
      <w:pPr>
        <w:widowControl w:val="0"/>
        <w:wordWrap/>
        <w:spacing w:before="0" w:after="0" w:line="600" w:lineRule="exact"/>
        <w:ind w:left="0" w:leftChars="0" w:firstLineChars="200"/>
        <w:textAlignment w:val="auto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（五）指导协调区各单位和农村村委会、社区居委会搞好社会治安综合治理和精神文明建设工作。</w:t>
      </w:r>
    </w:p>
    <w:p>
      <w:pPr>
        <w:widowControl w:val="0"/>
        <w:wordWrap/>
        <w:spacing w:before="0" w:after="0" w:line="600" w:lineRule="exact"/>
        <w:ind w:left="0" w:leftChars="0" w:firstLineChars="200"/>
        <w:textAlignment w:val="auto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（六）完成区党工委、管委会交办的其他任务。</w:t>
      </w:r>
    </w:p>
    <w:p>
      <w:pPr>
        <w:numPr>
          <w:numId w:val="0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3569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0" w:firstLine="624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文苑街道办事处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预算单位构成</w:t>
      </w:r>
    </w:p>
    <w:p>
      <w:pPr>
        <w:numPr>
          <w:numId w:val="0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0" w:firstLine="624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文苑街道办事处预算单位为文苑街道办事处本级预算。</w:t>
      </w:r>
    </w:p>
    <w:p>
      <w:pPr>
        <w:widowControl/>
        <w:shd w:val="clear" w:color="auto" w:fill="FFFFFF"/>
        <w:wordWrap/>
        <w:spacing w:before="0" w:after="0" w:line="600" w:lineRule="exact"/>
        <w:ind w:left="0" w:leftChars="0" w:firstLine="3438" w:firstLineChars="110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文苑办事处2018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658.69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658.69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165.55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33.57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人员经费增加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218.48元，主要是增加了月度考核奖，各类保险及公积金基数增加，保险缴费增加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658.69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658.69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658.69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538.69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81.78%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18.22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658.69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493.14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33.57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主要原因：人员经费增加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218.48元，主要是增加了月度考核奖，各类保险及公积金基数增加，保险缴费增加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658.69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18.22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101.62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15.43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城乡社区支出437.07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66.35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538.69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512.31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退休费、退休人员采暖补贴、退休人员文明奖、健康休养费、在职人员文明奖、住房公积金、职业年金、年终一次性奖金、30%奖励性绩效工资、医疗保险、失业保险、月度目标考核奖、年度目标考核奖、养老保险、遗属补助、国家保留津贴（事业）、工伤保险费、生育保险费、70%基础性绩效工资、行政及事业人员基础工资、公务交通补贴、在职人员采暖补贴、公务员医疗补助、工会经费、福利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26.38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主要包括：办公费、水费、电费、邮电费、差旅费、培训费、公务接待费、公务用车运行维护费、其他交通费用、其他商品和服务支出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11.29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7.21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38.97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widowControl w:val="0"/>
        <w:numPr>
          <w:numId w:val="0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widowControl w:val="0"/>
        <w:numPr>
          <w:ilvl w:val="0"/>
          <w:numId w:val="3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right="0" w:firstLine="62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0万元。</w:t>
      </w:r>
    </w:p>
    <w:p>
      <w:pPr>
        <w:widowControl w:val="0"/>
        <w:numPr>
          <w:numId w:val="0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 xml:space="preserve">    （二）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6.12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文苑街道办事处日常公务所需车辆燃料费、维修费、过桥过路费、保险费等支出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比2017年减少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3.88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38.80%，主要原因是认真贯彻落实中央八项规定精神，坚持厉行节约，强化公务用车管理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5.17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加班误餐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2017年预算数减少3.33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39.17%，主要原因是严格控制三公经费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26.38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</w:t>
      </w:r>
      <w:r>
        <w:rPr>
          <w:rFonts w:hint="eastAsia" w:ascii="仿宋" w:hAnsi="仿宋" w:eastAsia="仿宋" w:cs="仿宋"/>
          <w:sz w:val="32"/>
          <w:szCs w:val="32"/>
        </w:rPr>
        <w:t>、维修费、差旅费等支出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2017年减少16.42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万元，下降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38.36%，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主要原因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hd w:val="clear" w:color="auto" w:fill="FFFFFF"/>
        </w:rPr>
        <w:t>201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hd w:val="clear" w:color="auto" w:fill="FFFFFF"/>
        </w:rPr>
        <w:t>年预算编制时将工作经费编制到机关运行中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,我部门对0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90.7482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0万元，车辆9.94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八、其他（专业性较强的需向社会做出说明的名词）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文苑办事处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2018年9月14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1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48507106">
    <w:nsid w:val="FD3B12E2"/>
    <w:multiLevelType w:val="singleLevel"/>
    <w:tmpl w:val="FD3B12E2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517907436"/>
  </w:num>
  <w:num w:numId="2">
    <w:abstractNumId w:val="4248507106"/>
  </w:num>
  <w:num w:numId="3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2018-09-14T01:34:21Z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