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仿宋_GB2312" w:eastAsia="仿宋_GB2312" w:cs="Times New Roman"/>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仿宋_GB2312" w:hAnsi="仿宋_GB2312" w:eastAsia="仿宋_GB2312" w:cs="仿宋_GB2312"/>
          <w:sz w:val="32"/>
          <w:szCs w:val="32"/>
        </w:rPr>
        <w:t>：</w:t>
      </w:r>
    </w:p>
    <w:p>
      <w:pPr>
        <w:widowControl/>
        <w:jc w:val="left"/>
        <w:rPr>
          <w:rFonts w:ascii="黑体" w:hAnsi="宋体" w:eastAsia="黑体" w:cs="Times New Roman"/>
          <w:kern w:val="0"/>
          <w:sz w:val="28"/>
          <w:szCs w:val="28"/>
        </w:rPr>
      </w:pPr>
    </w:p>
    <w:p>
      <w:pPr>
        <w:widowControl/>
        <w:jc w:val="left"/>
        <w:rPr>
          <w:rFonts w:ascii="黑体" w:hAnsi="宋体" w:eastAsia="黑体" w:cs="Times New Roman"/>
          <w:kern w:val="0"/>
          <w:sz w:val="28"/>
          <w:szCs w:val="28"/>
        </w:rPr>
      </w:pPr>
    </w:p>
    <w:p>
      <w:pPr>
        <w:widowControl/>
        <w:jc w:val="left"/>
        <w:rPr>
          <w:rFonts w:ascii="黑体" w:hAnsi="宋体" w:eastAsia="黑体" w:cs="Times New Roman"/>
          <w:kern w:val="0"/>
          <w:sz w:val="28"/>
          <w:szCs w:val="28"/>
        </w:rPr>
      </w:pPr>
    </w:p>
    <w:p>
      <w:pPr>
        <w:widowControl/>
        <w:jc w:val="left"/>
        <w:rPr>
          <w:rFonts w:ascii="黑体" w:hAnsi="宋体" w:eastAsia="黑体" w:cs="Times New Roman"/>
          <w:kern w:val="0"/>
          <w:sz w:val="28"/>
          <w:szCs w:val="28"/>
        </w:rPr>
      </w:pPr>
    </w:p>
    <w:p>
      <w:pPr>
        <w:widowControl/>
        <w:jc w:val="left"/>
        <w:rPr>
          <w:rFonts w:ascii="黑体" w:hAnsi="宋体" w:eastAsia="黑体" w:cs="Times New Roman"/>
          <w:kern w:val="0"/>
          <w:sz w:val="28"/>
          <w:szCs w:val="28"/>
        </w:rPr>
      </w:pPr>
    </w:p>
    <w:p>
      <w:pPr>
        <w:jc w:val="center"/>
        <w:rPr>
          <w:rFonts w:ascii="黑体" w:hAnsi="黑体" w:eastAsia="黑体" w:cs="Times New Roman"/>
          <w:sz w:val="52"/>
          <w:szCs w:val="52"/>
        </w:rPr>
      </w:pPr>
      <w:r>
        <w:rPr>
          <w:rFonts w:hint="eastAsia" w:ascii="黑体" w:hAnsi="黑体" w:eastAsia="黑体" w:cs="黑体"/>
          <w:sz w:val="52"/>
          <w:szCs w:val="52"/>
        </w:rPr>
        <w:t>创业中心</w:t>
      </w:r>
    </w:p>
    <w:p>
      <w:pPr>
        <w:jc w:val="center"/>
        <w:rPr>
          <w:rFonts w:ascii="黑体" w:hAnsi="黑体" w:eastAsia="黑体" w:cs="Times New Roman"/>
          <w:sz w:val="52"/>
          <w:szCs w:val="52"/>
        </w:rPr>
      </w:pPr>
      <w:r>
        <w:rPr>
          <w:rFonts w:ascii="黑体" w:hAnsi="黑体" w:eastAsia="黑体" w:cs="黑体"/>
          <w:sz w:val="52"/>
          <w:szCs w:val="52"/>
        </w:rPr>
        <w:t>2018</w:t>
      </w:r>
      <w:r>
        <w:rPr>
          <w:rFonts w:hint="eastAsia" w:ascii="黑体" w:hAnsi="黑体" w:eastAsia="黑体" w:cs="黑体"/>
          <w:sz w:val="52"/>
          <w:szCs w:val="52"/>
        </w:rPr>
        <w:t>年度部门预算</w:t>
      </w:r>
    </w:p>
    <w:p>
      <w:pPr>
        <w:jc w:val="center"/>
        <w:rPr>
          <w:rFonts w:ascii="黑体" w:hAnsi="黑体" w:eastAsia="黑体" w:cs="Times New Roman"/>
          <w:sz w:val="52"/>
          <w:szCs w:val="52"/>
        </w:rPr>
      </w:pPr>
    </w:p>
    <w:p>
      <w:pPr>
        <w:jc w:val="center"/>
        <w:rPr>
          <w:rFonts w:ascii="黑体" w:hAnsi="黑体" w:eastAsia="黑体" w:cs="Times New Roman"/>
          <w:sz w:val="52"/>
          <w:szCs w:val="52"/>
        </w:rPr>
      </w:pPr>
    </w:p>
    <w:p>
      <w:pPr>
        <w:jc w:val="center"/>
        <w:rPr>
          <w:rFonts w:ascii="黑体" w:hAnsi="黑体" w:eastAsia="黑体" w:cs="Times New Roman"/>
          <w:sz w:val="52"/>
          <w:szCs w:val="52"/>
        </w:rPr>
      </w:pPr>
    </w:p>
    <w:p>
      <w:pPr>
        <w:jc w:val="center"/>
        <w:rPr>
          <w:rFonts w:ascii="黑体" w:hAnsi="黑体" w:eastAsia="黑体" w:cs="Times New Roman"/>
          <w:sz w:val="52"/>
          <w:szCs w:val="52"/>
        </w:rPr>
      </w:pPr>
    </w:p>
    <w:p>
      <w:pPr>
        <w:jc w:val="center"/>
        <w:rPr>
          <w:rFonts w:ascii="黑体" w:hAnsi="黑体" w:eastAsia="黑体" w:cs="Times New Roman"/>
          <w:sz w:val="52"/>
          <w:szCs w:val="52"/>
        </w:rPr>
      </w:pPr>
    </w:p>
    <w:p>
      <w:pPr>
        <w:adjustRightInd w:val="0"/>
        <w:snapToGrid w:val="0"/>
        <w:spacing w:line="360" w:lineRule="auto"/>
        <w:jc w:val="center"/>
        <w:rPr>
          <w:rFonts w:ascii="方正小标宋简体" w:hAnsi="方正小标宋简体" w:eastAsia="方正小标宋简体" w:cs="Times New Roman"/>
          <w:sz w:val="44"/>
          <w:szCs w:val="44"/>
        </w:rPr>
      </w:pPr>
    </w:p>
    <w:p>
      <w:pPr>
        <w:adjustRightInd w:val="0"/>
        <w:snapToGrid w:val="0"/>
        <w:spacing w:line="360" w:lineRule="auto"/>
        <w:rPr>
          <w:rFonts w:ascii="方正小标宋简体" w:hAnsi="方正小标宋简体" w:eastAsia="方正小标宋简体" w:cs="Times New Roman"/>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Times New Roman"/>
          <w:sz w:val="32"/>
          <w:szCs w:val="32"/>
        </w:rPr>
      </w:pPr>
    </w:p>
    <w:p>
      <w:pPr>
        <w:kinsoku w:val="0"/>
        <w:overflowPunct w:val="0"/>
        <w:adjustRightInd w:val="0"/>
        <w:snapToGrid w:val="0"/>
        <w:spacing w:line="360" w:lineRule="auto"/>
        <w:ind w:left="-142" w:right="51" w:firstLine="30" w:firstLineChars="7"/>
        <w:jc w:val="center"/>
        <w:rPr>
          <w:rFonts w:ascii="仿宋_GB2312" w:hAnsi="仿宋_GB2312" w:eastAsia="仿宋_GB2312" w:cs="Times New Roman"/>
          <w:sz w:val="44"/>
          <w:szCs w:val="44"/>
        </w:rPr>
      </w:pPr>
      <w:r>
        <w:rPr>
          <w:rFonts w:hint="eastAsia" w:ascii="仿宋_GB2312" w:hAnsi="仿宋_GB2312" w:eastAsia="仿宋_GB2312" w:cs="仿宋_GB2312"/>
          <w:sz w:val="44"/>
          <w:szCs w:val="44"/>
        </w:rPr>
        <w:t>目</w:t>
      </w:r>
      <w:r>
        <w:rPr>
          <w:rFonts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概况</w:t>
      </w:r>
      <w:r>
        <w:rPr>
          <w:rFonts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Times New Roman"/>
          <w:b/>
          <w:bCs/>
          <w:sz w:val="32"/>
          <w:szCs w:val="32"/>
        </w:rPr>
      </w:pPr>
      <w:r>
        <w:rPr>
          <w:rFonts w:hint="eastAsia" w:ascii="仿宋_GB2312" w:hAnsi="仿宋_GB2312" w:eastAsia="仿宋_GB2312" w:cs="仿宋_GB2312"/>
          <w:b/>
          <w:bCs/>
          <w:sz w:val="32"/>
          <w:szCs w:val="32"/>
        </w:rPr>
        <w:t>第二部门</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创业中心</w:t>
      </w:r>
      <w:r>
        <w:rPr>
          <w:rFonts w:ascii="仿宋_GB2312" w:hAnsi="仿宋_GB2312" w:eastAsia="仿宋_GB2312" w:cs="仿宋_GB2312"/>
          <w:b/>
          <w:bCs/>
          <w:sz w:val="32"/>
          <w:szCs w:val="32"/>
        </w:rPr>
        <w:t>2018</w:t>
      </w:r>
      <w:r>
        <w:rPr>
          <w:rFonts w:hint="eastAsia" w:ascii="仿宋_GB2312" w:hAnsi="仿宋_GB2312" w:eastAsia="仿宋_GB2312" w:cs="仿宋_GB2312"/>
          <w:b/>
          <w:bCs/>
          <w:sz w:val="32"/>
          <w:szCs w:val="32"/>
        </w:rPr>
        <w:t>年部门预算情况说明</w:t>
      </w:r>
    </w:p>
    <w:p>
      <w:pPr>
        <w:kinsoku w:val="0"/>
        <w:overflowPunct w:val="0"/>
        <w:adjustRightInd w:val="0"/>
        <w:snapToGrid w:val="0"/>
        <w:spacing w:line="360" w:lineRule="auto"/>
        <w:ind w:right="521" w:firstLine="624" w:firstLineChars="200"/>
        <w:rPr>
          <w:rFonts w:ascii="仿宋_GB2312" w:hAnsi="仿宋_GB2312" w:eastAsia="仿宋_GB2312" w:cs="Times New Roman"/>
          <w:b/>
          <w:bCs/>
          <w:sz w:val="32"/>
          <w:szCs w:val="32"/>
        </w:rPr>
      </w:pPr>
      <w:r>
        <w:rPr>
          <w:rFonts w:hint="eastAsia" w:ascii="仿宋_GB2312" w:hAnsi="仿宋_GB2312" w:eastAsia="仿宋_GB2312" w:cs="仿宋_GB2312"/>
          <w:b/>
          <w:bCs/>
          <w:sz w:val="32"/>
          <w:szCs w:val="32"/>
        </w:rPr>
        <w:t>第三部分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名词解释</w:t>
      </w:r>
    </w:p>
    <w:p>
      <w:pPr>
        <w:kinsoku w:val="0"/>
        <w:overflowPunct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附件：</w:t>
      </w:r>
      <w:r>
        <w:rPr>
          <w:rFonts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Times New Roman"/>
          <w:sz w:val="32"/>
          <w:szCs w:val="32"/>
        </w:rPr>
      </w:pPr>
    </w:p>
    <w:p>
      <w:pPr>
        <w:adjustRightInd w:val="0"/>
        <w:snapToGrid w:val="0"/>
        <w:spacing w:line="360" w:lineRule="auto"/>
        <w:ind w:firstLine="3744" w:firstLineChars="1200"/>
        <w:rPr>
          <w:rFonts w:ascii="仿宋_GB2312" w:hAnsi="仿宋_GB2312" w:eastAsia="仿宋_GB2312" w:cs="Times New Roman"/>
          <w:b/>
          <w:bCs/>
          <w:sz w:val="32"/>
          <w:szCs w:val="32"/>
        </w:rPr>
      </w:pPr>
    </w:p>
    <w:p>
      <w:pPr>
        <w:adjustRightInd w:val="0"/>
        <w:snapToGrid w:val="0"/>
        <w:spacing w:line="360" w:lineRule="auto"/>
        <w:ind w:firstLine="3744" w:firstLineChars="1200"/>
        <w:rPr>
          <w:rFonts w:ascii="仿宋_GB2312" w:hAnsi="仿宋_GB2312" w:eastAsia="仿宋_GB2312" w:cs="Times New Roman"/>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Times New Roman"/>
          <w:sz w:val="32"/>
          <w:szCs w:val="32"/>
        </w:rPr>
      </w:pPr>
      <w:r>
        <w:rPr>
          <w:rFonts w:hint="eastAsia" w:ascii="仿宋_GB2312" w:hAnsi="仿宋_GB2312" w:eastAsia="仿宋_GB2312" w:cs="仿宋_GB2312"/>
          <w:b/>
          <w:bCs/>
          <w:sz w:val="32"/>
          <w:szCs w:val="32"/>
        </w:rPr>
        <w:t>创业中心概况</w:t>
      </w:r>
    </w:p>
    <w:p>
      <w:pPr>
        <w:adjustRightInd w:val="0"/>
        <w:snapToGrid w:val="0"/>
        <w:spacing w:line="360" w:lineRule="auto"/>
        <w:ind w:firstLine="624" w:firstLineChars="200"/>
        <w:jc w:val="center"/>
        <w:rPr>
          <w:rFonts w:ascii="仿宋_GB2312" w:hAnsi="仿宋_GB2312" w:eastAsia="仿宋_GB2312" w:cs="Times New Roman"/>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主要职能</w:t>
      </w:r>
    </w:p>
    <w:p>
      <w:pPr>
        <w:kinsoku w:val="0"/>
        <w:overflowPunct w:val="0"/>
        <w:adjustRightInd w:val="0"/>
        <w:snapToGrid w:val="0"/>
        <w:spacing w:line="360" w:lineRule="auto"/>
        <w:ind w:right="3569" w:firstLine="624" w:firstLineChars="2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（一）机构设置情况</w:t>
      </w:r>
    </w:p>
    <w:p>
      <w:pPr>
        <w:ind w:firstLine="624" w:firstLineChars="200"/>
        <w:rPr>
          <w:rFonts w:eastAsia="仿宋_GB2312" w:cs="Times New Roman"/>
          <w:sz w:val="30"/>
          <w:szCs w:val="30"/>
        </w:rPr>
      </w:pPr>
      <w:r>
        <w:rPr>
          <w:rFonts w:ascii="仿宋_GB2312" w:hAnsi="仿宋_GB2312" w:eastAsia="仿宋_GB2312" w:cs="仿宋_GB2312"/>
          <w:sz w:val="32"/>
          <w:szCs w:val="32"/>
        </w:rPr>
        <w:t xml:space="preserve">  </w:t>
      </w:r>
      <w:r>
        <w:rPr>
          <w:rFonts w:hint="eastAsia" w:eastAsia="仿宋_GB2312" w:cs="仿宋_GB2312"/>
          <w:sz w:val="30"/>
          <w:szCs w:val="30"/>
        </w:rPr>
        <w:t>创业中心属于事业全供单位。事业编制</w:t>
      </w:r>
      <w:r>
        <w:rPr>
          <w:rFonts w:eastAsia="仿宋_GB2312"/>
          <w:sz w:val="30"/>
          <w:szCs w:val="30"/>
        </w:rPr>
        <w:t>10</w:t>
      </w:r>
      <w:r>
        <w:rPr>
          <w:rFonts w:hint="eastAsia" w:eastAsia="仿宋_GB2312" w:cs="仿宋_GB2312"/>
          <w:sz w:val="30"/>
          <w:szCs w:val="30"/>
        </w:rPr>
        <w:t>人，实有在职人员</w:t>
      </w:r>
      <w:r>
        <w:rPr>
          <w:rFonts w:eastAsia="仿宋_GB2312"/>
          <w:sz w:val="30"/>
          <w:szCs w:val="30"/>
        </w:rPr>
        <w:t>5</w:t>
      </w:r>
      <w:r>
        <w:rPr>
          <w:rFonts w:hint="eastAsia" w:eastAsia="仿宋_GB2312" w:cs="仿宋_GB2312"/>
          <w:sz w:val="30"/>
          <w:szCs w:val="30"/>
        </w:rPr>
        <w:t>人，退休人员</w:t>
      </w:r>
      <w:r>
        <w:rPr>
          <w:rFonts w:eastAsia="仿宋_GB2312"/>
          <w:sz w:val="30"/>
          <w:szCs w:val="30"/>
        </w:rPr>
        <w:t>1</w:t>
      </w:r>
      <w:r>
        <w:rPr>
          <w:rFonts w:hint="eastAsia" w:eastAsia="仿宋_GB2312" w:cs="仿宋_GB2312"/>
          <w:sz w:val="30"/>
          <w:szCs w:val="30"/>
        </w:rPr>
        <w:t>人。</w:t>
      </w:r>
    </w:p>
    <w:p>
      <w:pPr>
        <w:spacing w:line="556" w:lineRule="exact"/>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（二）部门职责</w:t>
      </w:r>
    </w:p>
    <w:p>
      <w:pPr>
        <w:spacing w:line="556" w:lineRule="exact"/>
        <w:ind w:firstLine="777" w:firstLineChars="249"/>
        <w:rPr>
          <w:rFonts w:ascii="仿宋_GB2312" w:eastAsia="仿宋_GB2312" w:cs="Times New Roman"/>
          <w:sz w:val="32"/>
          <w:szCs w:val="32"/>
        </w:rPr>
      </w:pP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）组织新产品、新技术的持有者进入创业中心，为其提供必要的孵化场地、办公条件，代办相关业务。</w:t>
      </w:r>
    </w:p>
    <w:p>
      <w:pPr>
        <w:spacing w:line="556" w:lineRule="exact"/>
        <w:rPr>
          <w:rFonts w:ascii="仿宋_GB2312" w:eastAsia="仿宋_GB2312" w:cs="Times New Roman"/>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）对进入创业中心的企业及高层次科技人员实施指导性管理和市场准入方面有关业务服务。</w:t>
      </w:r>
    </w:p>
    <w:p>
      <w:pPr>
        <w:spacing w:line="556" w:lineRule="exact"/>
        <w:rPr>
          <w:rFonts w:ascii="仿宋_GB2312" w:eastAsia="仿宋_GB2312" w:cs="Times New Roman"/>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）对新产品的开发、生产、经营提供管理咨询；协助企业及科技人员制定企业发展计划和市场营销策略；协调银行关系；协助企业申报各类科技计划。</w:t>
      </w:r>
    </w:p>
    <w:p>
      <w:pPr>
        <w:spacing w:line="556" w:lineRule="exact"/>
        <w:rPr>
          <w:rFonts w:ascii="仿宋_GB2312" w:eastAsia="仿宋_GB2312" w:cs="Times New Roman"/>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）为孵化企业和科技创业人员提供政策法规、企业管理、市场营销、国际贸易、财审、保险、外语、技术引进等方面的知识培训。指导企业及科技创业人员严格按照国家各项法律法规和方针政策办事。</w:t>
      </w:r>
    </w:p>
    <w:p>
      <w:pPr>
        <w:spacing w:line="556" w:lineRule="exact"/>
        <w:rPr>
          <w:rFonts w:ascii="仿宋_GB2312" w:eastAsia="仿宋_GB2312" w:cs="Times New Roman"/>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w:t>
      </w:r>
      <w:r>
        <w:rPr>
          <w:rFonts w:ascii="仿宋_GB2312" w:eastAsia="仿宋_GB2312" w:cs="仿宋_GB2312"/>
          <w:sz w:val="32"/>
          <w:szCs w:val="32"/>
        </w:rPr>
        <w:t>5</w:t>
      </w:r>
      <w:r>
        <w:rPr>
          <w:rFonts w:hint="eastAsia" w:ascii="仿宋_GB2312" w:eastAsia="仿宋_GB2312" w:cs="仿宋_GB2312"/>
          <w:sz w:val="32"/>
          <w:szCs w:val="32"/>
        </w:rPr>
        <w:t>）协助进入中心的企业和科技创业人员寻求项目开发及合作伙伴，并组织鉴定，申请立项。</w:t>
      </w:r>
    </w:p>
    <w:p>
      <w:pPr>
        <w:kinsoku w:val="0"/>
        <w:overflowPunct w:val="0"/>
        <w:adjustRightInd w:val="0"/>
        <w:snapToGrid w:val="0"/>
        <w:spacing w:line="360" w:lineRule="auto"/>
        <w:ind w:right="3569" w:firstLine="624" w:firstLineChars="200"/>
        <w:jc w:val="left"/>
        <w:rPr>
          <w:rFonts w:ascii="仿宋_GB2312" w:hAnsi="仿宋_GB2312" w:eastAsia="仿宋_GB2312" w:cs="Times New Roman"/>
          <w:sz w:val="32"/>
          <w:szCs w:val="32"/>
        </w:rPr>
      </w:pPr>
    </w:p>
    <w:p>
      <w:pPr>
        <w:kinsoku w:val="0"/>
        <w:overflowPunct w:val="0"/>
        <w:adjustRightInd w:val="0"/>
        <w:snapToGrid w:val="0"/>
        <w:spacing w:line="360" w:lineRule="auto"/>
        <w:ind w:right="3569" w:firstLine="624" w:firstLineChars="200"/>
        <w:jc w:val="left"/>
        <w:outlineLvl w:val="0"/>
        <w:rPr>
          <w:rFonts w:ascii="仿宋_GB2312" w:hAnsi="仿宋_GB2312" w:eastAsia="仿宋_GB2312" w:cs="Times New Roman"/>
          <w:sz w:val="32"/>
          <w:szCs w:val="32"/>
        </w:rPr>
      </w:pPr>
      <w:r>
        <w:rPr>
          <w:rFonts w:hint="eastAsia" w:ascii="仿宋_GB2312" w:hAnsi="仿宋_GB2312" w:eastAsia="仿宋_GB2312" w:cs="仿宋_GB2312"/>
          <w:sz w:val="32"/>
          <w:szCs w:val="32"/>
        </w:rPr>
        <w:t>二、创业中心预算单位构成</w:t>
      </w:r>
    </w:p>
    <w:p>
      <w:pPr>
        <w:spacing w:line="556" w:lineRule="exact"/>
        <w:ind w:firstLine="624" w:firstLineChars="200"/>
        <w:rPr>
          <w:rFonts w:ascii="仿宋_GB2312" w:eastAsia="仿宋_GB2312" w:cs="Times New Roman"/>
          <w:sz w:val="32"/>
          <w:szCs w:val="32"/>
        </w:rPr>
      </w:pPr>
      <w:r>
        <w:rPr>
          <w:rFonts w:hint="eastAsia" w:ascii="仿宋_GB2312" w:hAnsi="楷体" w:eastAsia="仿宋_GB2312" w:cs="仿宋_GB2312"/>
          <w:sz w:val="32"/>
          <w:szCs w:val="32"/>
        </w:rPr>
        <w:t>焦作高新技术产业开发区创业中心</w:t>
      </w:r>
      <w:r>
        <w:rPr>
          <w:rFonts w:hint="eastAsia" w:ascii="仿宋_GB2312" w:eastAsia="仿宋_GB2312" w:cs="仿宋_GB2312"/>
          <w:sz w:val="32"/>
          <w:szCs w:val="32"/>
        </w:rPr>
        <w:t>隶属于焦作</w:t>
      </w:r>
      <w:r>
        <w:rPr>
          <w:rFonts w:hint="eastAsia" w:ascii="仿宋_GB2312" w:eastAsia="仿宋_GB2312" w:cs="仿宋_GB2312"/>
          <w:sz w:val="32"/>
          <w:szCs w:val="32"/>
          <w:lang w:val="en-US" w:eastAsia="zh-CN"/>
        </w:rPr>
        <w:t>市</w:t>
      </w:r>
      <w:r>
        <w:rPr>
          <w:rFonts w:hint="eastAsia" w:ascii="仿宋_GB2312" w:eastAsia="仿宋_GB2312" w:cs="仿宋_GB2312"/>
          <w:sz w:val="32"/>
          <w:szCs w:val="32"/>
        </w:rPr>
        <w:t>城乡一体化示范区管理委员会（下称示范区管委会），是为初创科技企业提供综合服务的公益性科技事业服务机构。目前中心共有工作人员</w:t>
      </w:r>
      <w:r>
        <w:rPr>
          <w:rFonts w:ascii="仿宋_GB2312" w:eastAsia="仿宋_GB2312" w:cs="仿宋_GB2312"/>
          <w:sz w:val="32"/>
          <w:szCs w:val="32"/>
        </w:rPr>
        <w:t>6</w:t>
      </w:r>
      <w:r>
        <w:rPr>
          <w:rFonts w:hint="eastAsia" w:ascii="仿宋_GB2312" w:eastAsia="仿宋_GB2312" w:cs="仿宋_GB2312"/>
          <w:sz w:val="32"/>
          <w:szCs w:val="32"/>
        </w:rPr>
        <w:t>名，其中正科</w:t>
      </w:r>
      <w:r>
        <w:rPr>
          <w:rFonts w:ascii="仿宋_GB2312" w:eastAsia="仿宋_GB2312" w:cs="仿宋_GB2312"/>
          <w:sz w:val="32"/>
          <w:szCs w:val="32"/>
        </w:rPr>
        <w:t>1</w:t>
      </w:r>
      <w:r>
        <w:rPr>
          <w:rFonts w:hint="eastAsia" w:ascii="仿宋_GB2312" w:eastAsia="仿宋_GB2312" w:cs="仿宋_GB2312"/>
          <w:sz w:val="32"/>
          <w:szCs w:val="32"/>
        </w:rPr>
        <w:t>名、副科</w:t>
      </w:r>
      <w:r>
        <w:rPr>
          <w:rFonts w:ascii="仿宋_GB2312" w:eastAsia="仿宋_GB2312" w:cs="仿宋_GB2312"/>
          <w:sz w:val="32"/>
          <w:szCs w:val="32"/>
        </w:rPr>
        <w:t>2</w:t>
      </w:r>
      <w:r>
        <w:rPr>
          <w:rFonts w:hint="eastAsia" w:ascii="仿宋_GB2312" w:eastAsia="仿宋_GB2312" w:cs="仿宋_GB2312"/>
          <w:sz w:val="32"/>
          <w:szCs w:val="32"/>
        </w:rPr>
        <w:t>名、科员</w:t>
      </w:r>
      <w:r>
        <w:rPr>
          <w:rFonts w:ascii="仿宋_GB2312" w:eastAsia="仿宋_GB2312" w:cs="仿宋_GB2312"/>
          <w:sz w:val="32"/>
          <w:szCs w:val="32"/>
        </w:rPr>
        <w:t>2</w:t>
      </w:r>
      <w:r>
        <w:rPr>
          <w:rFonts w:hint="eastAsia" w:ascii="仿宋_GB2312" w:eastAsia="仿宋_GB2312" w:cs="仿宋_GB2312"/>
          <w:sz w:val="32"/>
          <w:szCs w:val="32"/>
        </w:rPr>
        <w:t>名、退休人员</w:t>
      </w:r>
      <w:r>
        <w:rPr>
          <w:rFonts w:ascii="仿宋_GB2312" w:eastAsia="仿宋_GB2312" w:cs="仿宋_GB2312"/>
          <w:sz w:val="32"/>
          <w:szCs w:val="32"/>
        </w:rPr>
        <w:t>1</w:t>
      </w:r>
      <w:r>
        <w:rPr>
          <w:rFonts w:hint="eastAsia" w:ascii="仿宋_GB2312" w:eastAsia="仿宋_GB2312" w:cs="仿宋_GB2312"/>
          <w:sz w:val="32"/>
          <w:szCs w:val="32"/>
        </w:rPr>
        <w:t>名。经费</w:t>
      </w:r>
      <w:bookmarkStart w:id="0" w:name="_GoBack"/>
      <w:bookmarkEnd w:id="0"/>
      <w:r>
        <w:rPr>
          <w:rFonts w:hint="eastAsia" w:ascii="仿宋_GB2312" w:eastAsia="仿宋_GB2312" w:cs="仿宋_GB2312"/>
          <w:sz w:val="32"/>
          <w:szCs w:val="32"/>
        </w:rPr>
        <w:t>供给方式为财政全额拨付。</w:t>
      </w:r>
    </w:p>
    <w:p>
      <w:pPr>
        <w:kinsoku w:val="0"/>
        <w:overflowPunct w:val="0"/>
        <w:adjustRightInd w:val="0"/>
        <w:snapToGrid w:val="0"/>
        <w:spacing w:line="360" w:lineRule="auto"/>
        <w:ind w:right="3569" w:firstLine="624" w:firstLineChars="200"/>
        <w:jc w:val="left"/>
        <w:outlineLvl w:val="0"/>
        <w:rPr>
          <w:rFonts w:ascii="仿宋_GB2312" w:hAnsi="仿宋_GB2312" w:eastAsia="仿宋_GB2312" w:cs="Times New Roman"/>
          <w:sz w:val="32"/>
          <w:szCs w:val="32"/>
        </w:rPr>
      </w:pPr>
    </w:p>
    <w:p>
      <w:pPr>
        <w:widowControl/>
        <w:shd w:val="clear" w:color="auto" w:fill="FFFFFF"/>
        <w:spacing w:line="450" w:lineRule="atLeast"/>
        <w:ind w:firstLine="3438" w:firstLineChars="1102"/>
        <w:jc w:val="left"/>
        <w:rPr>
          <w:rFonts w:ascii="仿宋_GB2312" w:hAnsi="仿宋_GB2312" w:eastAsia="仿宋_GB2312" w:cs="Times New Roman"/>
          <w:sz w:val="32"/>
          <w:szCs w:val="32"/>
        </w:rPr>
      </w:pPr>
    </w:p>
    <w:p>
      <w:pPr>
        <w:widowControl/>
        <w:shd w:val="clear" w:color="auto" w:fill="FFFFFF"/>
        <w:spacing w:line="450" w:lineRule="atLeast"/>
        <w:jc w:val="center"/>
        <w:rPr>
          <w:rFonts w:ascii="仿宋_GB2312" w:hAnsi="仿宋_GB2312" w:eastAsia="仿宋_GB2312" w:cs="Times New Roman"/>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Times New Roman"/>
          <w:b/>
          <w:bCs/>
          <w:sz w:val="32"/>
          <w:szCs w:val="32"/>
        </w:rPr>
      </w:pPr>
      <w:r>
        <w:rPr>
          <w:rFonts w:hint="eastAsia" w:ascii="仿宋_GB2312" w:hAnsi="仿宋_GB2312" w:eastAsia="仿宋_GB2312" w:cs="仿宋_GB2312"/>
          <w:b/>
          <w:bCs/>
          <w:sz w:val="32"/>
          <w:szCs w:val="32"/>
        </w:rPr>
        <w:t>创业中心</w:t>
      </w:r>
      <w:r>
        <w:rPr>
          <w:rFonts w:ascii="仿宋_GB2312" w:hAnsi="仿宋_GB2312" w:eastAsia="仿宋_GB2312" w:cs="仿宋_GB2312"/>
          <w:b/>
          <w:bCs/>
          <w:sz w:val="32"/>
          <w:szCs w:val="32"/>
        </w:rPr>
        <w:t>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ascii="仿宋_GB2312" w:hAnsi="仿宋_GB2312" w:eastAsia="仿宋_GB2312" w:cs="Times New Roman"/>
          <w:sz w:val="32"/>
          <w:szCs w:val="32"/>
        </w:rPr>
      </w:pPr>
    </w:p>
    <w:p>
      <w:pPr>
        <w:numPr>
          <w:ilvl w:val="0"/>
          <w:numId w:val="2"/>
        </w:numPr>
        <w:adjustRightInd w:val="0"/>
        <w:snapToGrid w:val="0"/>
        <w:spacing w:line="360" w:lineRule="auto"/>
        <w:outlineLvl w:val="0"/>
        <w:rPr>
          <w:rFonts w:ascii="仿宋_GB2312" w:hAnsi="仿宋_GB2312" w:eastAsia="仿宋_GB2312" w:cs="Times New Roman"/>
          <w:sz w:val="32"/>
          <w:szCs w:val="32"/>
        </w:rPr>
      </w:pPr>
      <w:r>
        <w:rPr>
          <w:rFonts w:hint="eastAsia" w:ascii="仿宋_GB2312" w:hAnsi="仿宋_GB2312" w:eastAsia="仿宋_GB2312" w:cs="仿宋_GB2312"/>
          <w:sz w:val="32"/>
          <w:szCs w:val="32"/>
        </w:rPr>
        <w:t>收入支出预算总体情况说明</w:t>
      </w:r>
    </w:p>
    <w:p>
      <w:pPr>
        <w:ind w:left="105"/>
        <w:rPr>
          <w:rFonts w:ascii="仿宋_GB2312" w:hAnsi="仿宋_GB2312" w:eastAsia="仿宋_GB2312" w:cs="Times New Roman"/>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年收入</w:t>
      </w:r>
      <w:r>
        <w:rPr>
          <w:rFonts w:ascii="仿宋_GB2312" w:hAnsi="仿宋_GB2312" w:eastAsia="仿宋_GB2312" w:cs="仿宋_GB2312"/>
          <w:sz w:val="32"/>
          <w:szCs w:val="32"/>
        </w:rPr>
        <w:t>70.27</w:t>
      </w:r>
      <w:r>
        <w:rPr>
          <w:rFonts w:hint="eastAsia" w:ascii="仿宋_GB2312" w:hAnsi="仿宋_GB2312" w:eastAsia="仿宋_GB2312" w:cs="仿宋_GB2312"/>
          <w:sz w:val="32"/>
          <w:szCs w:val="32"/>
        </w:rPr>
        <w:t>万元，支出总计</w:t>
      </w:r>
      <w:r>
        <w:rPr>
          <w:rFonts w:ascii="仿宋_GB2312" w:hAnsi="仿宋_GB2312" w:eastAsia="仿宋_GB2312" w:cs="仿宋_GB2312"/>
          <w:sz w:val="32"/>
          <w:szCs w:val="32"/>
        </w:rPr>
        <w:t>70.27</w:t>
      </w:r>
      <w:r>
        <w:rPr>
          <w:rFonts w:hint="eastAsia" w:ascii="仿宋_GB2312" w:hAnsi="仿宋_GB2312" w:eastAsia="仿宋_GB2312" w:cs="仿宋_GB2312"/>
          <w:sz w:val="32"/>
          <w:szCs w:val="32"/>
        </w:rPr>
        <w:t>万元，与</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年相比，增加</w:t>
      </w:r>
      <w:r>
        <w:rPr>
          <w:rFonts w:ascii="仿宋_GB2312" w:hAnsi="仿宋_GB2312" w:eastAsia="仿宋_GB2312" w:cs="仿宋_GB2312"/>
          <w:sz w:val="32"/>
          <w:szCs w:val="32"/>
        </w:rPr>
        <w:t>10.07</w:t>
      </w:r>
      <w:r>
        <w:rPr>
          <w:rFonts w:hint="eastAsia" w:ascii="仿宋_GB2312" w:hAnsi="仿宋_GB2312" w:eastAsia="仿宋_GB2312" w:cs="仿宋_GB2312"/>
          <w:sz w:val="32"/>
          <w:szCs w:val="32"/>
        </w:rPr>
        <w:t>万元，增长率为</w:t>
      </w:r>
      <w:r>
        <w:rPr>
          <w:rFonts w:ascii="仿宋_GB2312" w:hAnsi="仿宋_GB2312" w:eastAsia="仿宋_GB2312" w:cs="仿宋_GB2312"/>
          <w:sz w:val="32"/>
          <w:szCs w:val="32"/>
        </w:rPr>
        <w:t>14.3%</w:t>
      </w:r>
      <w:r>
        <w:rPr>
          <w:rFonts w:hint="eastAsia" w:ascii="仿宋_GB2312" w:hAnsi="仿宋_GB2312" w:eastAsia="仿宋_GB2312" w:cs="仿宋_GB2312"/>
          <w:sz w:val="32"/>
          <w:szCs w:val="32"/>
        </w:rPr>
        <w:t>，主要原因是</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、每年工资略有增长，养老、医疗等基数有所增加，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、增加一名职工。</w:t>
      </w:r>
    </w:p>
    <w:p>
      <w:pPr>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年收入合计</w:t>
      </w:r>
      <w:r>
        <w:rPr>
          <w:rFonts w:ascii="Arial" w:hAnsi="Arial" w:eastAsia="仿宋_GB2312" w:cs="Arial"/>
          <w:sz w:val="28"/>
          <w:szCs w:val="28"/>
        </w:rPr>
        <w:t>70.27</w:t>
      </w:r>
      <w:r>
        <w:rPr>
          <w:rFonts w:hint="eastAsia" w:ascii="仿宋_GB2312" w:hAnsi="仿宋_GB2312" w:eastAsia="仿宋_GB2312" w:cs="仿宋_GB2312"/>
          <w:sz w:val="32"/>
          <w:szCs w:val="32"/>
        </w:rPr>
        <w:t>万元，其中：一般公共预算收入</w:t>
      </w:r>
      <w:r>
        <w:rPr>
          <w:rFonts w:ascii="Arial" w:hAnsi="Arial" w:eastAsia="仿宋_GB2312" w:cs="Arial"/>
          <w:sz w:val="28"/>
          <w:szCs w:val="28"/>
        </w:rPr>
        <w:t>70.27</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政府性基金预算收入</w:t>
      </w:r>
      <w:r>
        <w:rPr>
          <w:rFonts w:ascii="Arial" w:hAnsi="Arial" w:eastAsia="仿宋_GB2312" w:cs="Arial"/>
          <w:sz w:val="32"/>
          <w:szCs w:val="32"/>
        </w:rPr>
        <w:t>0</w:t>
      </w:r>
      <w:r>
        <w:rPr>
          <w:rFonts w:hint="eastAsia" w:ascii="仿宋_GB2312" w:hAnsi="仿宋_GB2312" w:eastAsia="仿宋_GB2312" w:cs="仿宋_GB2312"/>
          <w:sz w:val="32"/>
          <w:szCs w:val="32"/>
        </w:rPr>
        <w:t>万元；国有资本经营预算收入</w:t>
      </w:r>
      <w:r>
        <w:rPr>
          <w:rFonts w:ascii="Arial" w:hAnsi="Arial" w:eastAsia="仿宋_GB2312" w:cs="Arial"/>
          <w:sz w:val="32"/>
          <w:szCs w:val="32"/>
        </w:rPr>
        <w:t>0</w:t>
      </w:r>
      <w:r>
        <w:rPr>
          <w:rFonts w:hint="eastAsia" w:ascii="Arial" w:hAnsi="Arial" w:eastAsia="仿宋_GB2312" w:cs="仿宋_GB2312"/>
          <w:sz w:val="32"/>
          <w:szCs w:val="32"/>
        </w:rPr>
        <w:t>万元；其他收入</w:t>
      </w:r>
      <w:r>
        <w:rPr>
          <w:rFonts w:ascii="Arial" w:hAnsi="Arial" w:eastAsia="仿宋_GB2312" w:cs="Arial"/>
          <w:sz w:val="32"/>
          <w:szCs w:val="32"/>
        </w:rPr>
        <w:t>0</w:t>
      </w:r>
      <w:r>
        <w:rPr>
          <w:rFonts w:hint="eastAsia" w:ascii="Arial" w:hAnsi="Arial" w:eastAsia="仿宋_GB2312" w:cs="仿宋_GB2312"/>
          <w:sz w:val="32"/>
          <w:szCs w:val="32"/>
        </w:rPr>
        <w:t>万元。</w:t>
      </w:r>
      <w:r>
        <w:rPr>
          <w:rFonts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年支出合计</w:t>
      </w:r>
      <w:r>
        <w:rPr>
          <w:rFonts w:ascii="Arial" w:hAnsi="Arial" w:eastAsia="仿宋_GB2312" w:cs="Arial"/>
          <w:sz w:val="32"/>
          <w:szCs w:val="32"/>
        </w:rPr>
        <w:t>70.27</w:t>
      </w:r>
      <w:r>
        <w:rPr>
          <w:rFonts w:hint="eastAsia" w:ascii="仿宋_GB2312" w:hAnsi="仿宋_GB2312" w:eastAsia="仿宋_GB2312" w:cs="仿宋_GB2312"/>
          <w:sz w:val="32"/>
          <w:szCs w:val="32"/>
        </w:rPr>
        <w:t>万元，其中：基本支出</w:t>
      </w:r>
      <w:r>
        <w:rPr>
          <w:rFonts w:ascii="Arial" w:hAnsi="Arial" w:eastAsia="仿宋_GB2312" w:cs="Arial"/>
          <w:sz w:val="32"/>
          <w:szCs w:val="32"/>
        </w:rPr>
        <w:t>70.27</w:t>
      </w:r>
      <w:r>
        <w:rPr>
          <w:rFonts w:hint="eastAsia" w:ascii="仿宋_GB2312" w:hAnsi="仿宋_GB2312" w:eastAsia="仿宋_GB2312" w:cs="仿宋_GB2312"/>
          <w:sz w:val="32"/>
          <w:szCs w:val="32"/>
        </w:rPr>
        <w:t>万元，占</w:t>
      </w:r>
      <w:r>
        <w:rPr>
          <w:rFonts w:ascii="Arial" w:hAnsi="Arial" w:eastAsia="仿宋_GB2312" w:cs="Arial"/>
          <w:sz w:val="32"/>
          <w:szCs w:val="32"/>
        </w:rPr>
        <w:t>100%</w:t>
      </w:r>
      <w:r>
        <w:rPr>
          <w:rFonts w:hint="eastAsia" w:ascii="仿宋_GB2312" w:hAnsi="仿宋_GB2312" w:eastAsia="仿宋_GB2312" w:cs="仿宋_GB2312"/>
          <w:sz w:val="32"/>
          <w:szCs w:val="32"/>
        </w:rPr>
        <w:t>；项目支出</w:t>
      </w:r>
      <w:r>
        <w:rPr>
          <w:rFonts w:ascii="Arial" w:hAnsi="Arial" w:eastAsia="仿宋_GB2312" w:cs="Arial"/>
          <w:sz w:val="32"/>
          <w:szCs w:val="32"/>
        </w:rPr>
        <w:t>0</w:t>
      </w:r>
      <w:r>
        <w:rPr>
          <w:rFonts w:hint="eastAsia" w:ascii="仿宋_GB2312" w:hAnsi="仿宋_GB2312" w:eastAsia="仿宋_GB2312" w:cs="仿宋_GB2312"/>
          <w:sz w:val="32"/>
          <w:szCs w:val="32"/>
        </w:rPr>
        <w:t>万元，占</w:t>
      </w:r>
      <w:r>
        <w:rPr>
          <w:rFonts w:ascii="Arial" w:hAnsi="Arial" w:eastAsia="仿宋_GB2312" w:cs="Arial"/>
          <w:sz w:val="32"/>
          <w:szCs w:val="32"/>
        </w:rPr>
        <w:t>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w:t>
      </w:r>
      <w:r>
        <w:rPr>
          <w:rFonts w:ascii="仿宋_GB2312" w:hAnsi="仿宋_GB2312" w:eastAsia="仿宋_GB2312" w:cs="仿宋_GB2312"/>
          <w:color w:val="FF0000"/>
          <w:sz w:val="32"/>
          <w:szCs w:val="32"/>
        </w:rPr>
        <w:t xml:space="preserve"> </w:t>
      </w:r>
    </w:p>
    <w:p>
      <w:pPr>
        <w:spacing w:line="560" w:lineRule="exact"/>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ascii="仿宋_GB2312" w:hAnsi="仿宋_GB2312" w:eastAsia="仿宋_GB2312" w:cs="Times New Roman"/>
          <w:kern w:val="0"/>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年一般公共预算收支预算</w:t>
      </w:r>
      <w:r>
        <w:rPr>
          <w:rFonts w:ascii="Arial" w:hAnsi="Arial" w:eastAsia="仿宋_GB2312" w:cs="Arial"/>
          <w:sz w:val="32"/>
          <w:szCs w:val="32"/>
        </w:rPr>
        <w:t>70.27</w:t>
      </w:r>
      <w:r>
        <w:rPr>
          <w:rFonts w:hint="eastAsia" w:ascii="仿宋_GB2312" w:hAnsi="仿宋_GB2312" w:eastAsia="仿宋_GB2312" w:cs="仿宋_GB2312"/>
          <w:sz w:val="32"/>
          <w:szCs w:val="32"/>
        </w:rPr>
        <w:t>万元。政府性基金收支预算</w:t>
      </w:r>
      <w:r>
        <w:rPr>
          <w:rFonts w:ascii="Arial" w:hAnsi="Arial" w:eastAsia="仿宋_GB2312" w:cs="Arial"/>
          <w:sz w:val="32"/>
          <w:szCs w:val="32"/>
        </w:rPr>
        <w:t>0</w:t>
      </w:r>
      <w:r>
        <w:rPr>
          <w:rFonts w:hint="eastAsia" w:ascii="Arial" w:hAnsi="Arial" w:eastAsia="仿宋_GB2312" w:cs="仿宋_GB2312"/>
          <w:sz w:val="32"/>
          <w:szCs w:val="32"/>
        </w:rPr>
        <w:t>万元，</w:t>
      </w:r>
      <w:r>
        <w:rPr>
          <w:rFonts w:hint="eastAsia" w:ascii="仿宋_GB2312" w:hAnsi="仿宋_GB2312" w:eastAsia="仿宋_GB2312" w:cs="仿宋_GB2312"/>
          <w:sz w:val="32"/>
          <w:szCs w:val="32"/>
        </w:rPr>
        <w:t>与</w:t>
      </w:r>
      <w:r>
        <w:rPr>
          <w:rFonts w:ascii="仿宋_GB2312" w:hAnsi="仿宋_GB2312" w:eastAsia="仿宋_GB2312" w:cs="仿宋_GB2312"/>
          <w:sz w:val="32"/>
          <w:szCs w:val="32"/>
        </w:rPr>
        <w:t xml:space="preserve"> 2017</w:t>
      </w:r>
      <w:r>
        <w:rPr>
          <w:rFonts w:hint="eastAsia" w:ascii="仿宋_GB2312" w:hAnsi="仿宋_GB2312" w:eastAsia="仿宋_GB2312" w:cs="仿宋_GB2312"/>
          <w:sz w:val="32"/>
          <w:szCs w:val="32"/>
        </w:rPr>
        <w:t>年相比，一般公共预算收支预算增加</w:t>
      </w:r>
      <w:r>
        <w:rPr>
          <w:rFonts w:ascii="仿宋_GB2312" w:hAnsi="仿宋_GB2312" w:eastAsia="仿宋_GB2312" w:cs="仿宋_GB2312"/>
          <w:sz w:val="32"/>
          <w:szCs w:val="32"/>
        </w:rPr>
        <w:t>10.07</w:t>
      </w:r>
      <w:r>
        <w:rPr>
          <w:rFonts w:hint="eastAsia" w:ascii="仿宋_GB2312" w:hAnsi="仿宋_GB2312" w:eastAsia="仿宋_GB2312" w:cs="仿宋_GB2312"/>
          <w:sz w:val="32"/>
          <w:szCs w:val="32"/>
        </w:rPr>
        <w:t>万元，增长</w:t>
      </w:r>
      <w:r>
        <w:rPr>
          <w:rFonts w:ascii="Arial" w:hAnsi="Arial" w:eastAsia="仿宋_GB2312" w:cs="Arial"/>
          <w:sz w:val="32"/>
          <w:szCs w:val="32"/>
        </w:rPr>
        <w:t>14.3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、每年工资略有增长，养老、医疗等基数有所增加。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、增加一名职工。</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、多了一项平时考核奖</w:t>
      </w:r>
      <w:r>
        <w:rPr>
          <w:rFonts w:hint="eastAsia" w:ascii="Arial" w:hAnsi="Arial" w:eastAsia="仿宋_GB2312" w:cs="仿宋_GB2312"/>
          <w:sz w:val="32"/>
          <w:szCs w:val="32"/>
        </w:rPr>
        <w:t>；</w:t>
      </w:r>
      <w:r>
        <w:rPr>
          <w:rFonts w:hint="eastAsia" w:ascii="仿宋_GB2312" w:hAnsi="仿宋_GB2312" w:eastAsia="仿宋_GB2312" w:cs="仿宋_GB2312"/>
          <w:sz w:val="32"/>
          <w:szCs w:val="32"/>
        </w:rPr>
        <w:t>政府性基金收支增加</w:t>
      </w:r>
      <w:r>
        <w:rPr>
          <w:rFonts w:ascii="Arial" w:hAnsi="Arial" w:eastAsia="仿宋_GB2312" w:cs="Arial"/>
          <w:sz w:val="32"/>
          <w:szCs w:val="32"/>
        </w:rPr>
        <w:t>0</w:t>
      </w:r>
      <w:r>
        <w:rPr>
          <w:rFonts w:hint="eastAsia" w:ascii="Arial" w:hAnsi="Arial" w:eastAsia="仿宋_GB2312" w:cs="仿宋_GB2312"/>
          <w:sz w:val="32"/>
          <w:szCs w:val="32"/>
        </w:rPr>
        <w:t>万元，增长</w:t>
      </w:r>
      <w:r>
        <w:rPr>
          <w:rFonts w:ascii="Arial" w:hAnsi="Arial" w:eastAsia="仿宋_GB2312" w:cs="Arial"/>
          <w:sz w:val="32"/>
          <w:szCs w:val="32"/>
        </w:rPr>
        <w:t>0</w:t>
      </w:r>
      <w:r>
        <w:rPr>
          <w:rFonts w:ascii="仿宋_GB2312" w:hAnsi="仿宋_GB2312" w:eastAsia="仿宋_GB2312" w:cs="仿宋_GB2312"/>
          <w:sz w:val="32"/>
          <w:szCs w:val="32"/>
        </w:rPr>
        <w:t>%</w:t>
      </w:r>
      <w:r>
        <w:rPr>
          <w:rFonts w:hint="eastAsia" w:ascii="Arial" w:hAnsi="Arial" w:eastAsia="仿宋_GB2312" w:cs="仿宋_GB2312"/>
          <w:sz w:val="32"/>
          <w:szCs w:val="32"/>
        </w:rPr>
        <w:t>，</w:t>
      </w:r>
      <w:r>
        <w:rPr>
          <w:rFonts w:hint="eastAsia" w:ascii="仿宋_GB2312" w:hAnsi="仿宋_GB2312" w:eastAsia="仿宋_GB2312" w:cs="仿宋_GB2312"/>
          <w:sz w:val="32"/>
          <w:szCs w:val="32"/>
        </w:rPr>
        <w:t>主要原因：</w:t>
      </w: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2018</w:t>
      </w:r>
      <w:r>
        <w:rPr>
          <w:rFonts w:hint="eastAsia" w:ascii="仿宋_GB2312" w:hAnsi="仿宋_GB2312" w:eastAsia="仿宋_GB2312" w:cs="仿宋_GB2312"/>
          <w:kern w:val="0"/>
          <w:sz w:val="32"/>
          <w:szCs w:val="32"/>
        </w:rPr>
        <w:t>年没有使用政府性基金预算拨款安排的支出。</w:t>
      </w:r>
    </w:p>
    <w:p>
      <w:pPr>
        <w:spacing w:line="560" w:lineRule="exact"/>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ascii="仿宋_GB2312" w:hAnsi="仿宋_GB2312" w:eastAsia="仿宋_GB2312" w:cs="Times New Roman"/>
          <w:kern w:val="0"/>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年一般公共预算支出年初预算为</w:t>
      </w:r>
      <w:r>
        <w:rPr>
          <w:rFonts w:ascii="Arial" w:hAnsi="Arial" w:eastAsia="仿宋_GB2312" w:cs="Arial"/>
          <w:sz w:val="32"/>
          <w:szCs w:val="32"/>
        </w:rPr>
        <w:t>70.27</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一般公共服务支出</w:t>
      </w:r>
      <w:r>
        <w:rPr>
          <w:rFonts w:ascii="Arial" w:hAnsi="Arial" w:eastAsia="仿宋_GB2312" w:cs="Arial"/>
          <w:sz w:val="32"/>
          <w:szCs w:val="32"/>
        </w:rPr>
        <w:t>66.03</w:t>
      </w:r>
      <w:r>
        <w:rPr>
          <w:rFonts w:hint="eastAsia" w:ascii="仿宋_GB2312" w:hAnsi="仿宋_GB2312" w:eastAsia="仿宋_GB2312" w:cs="仿宋_GB2312"/>
          <w:kern w:val="0"/>
          <w:sz w:val="32"/>
          <w:szCs w:val="32"/>
        </w:rPr>
        <w:t>万元，占</w:t>
      </w:r>
      <w:r>
        <w:rPr>
          <w:rFonts w:ascii="仿宋_GB2312" w:hAnsi="仿宋_GB2312" w:eastAsia="仿宋_GB2312" w:cs="仿宋_GB2312"/>
          <w:kern w:val="0"/>
          <w:sz w:val="32"/>
          <w:szCs w:val="32"/>
        </w:rPr>
        <w:t>93.97%</w:t>
      </w:r>
      <w:r>
        <w:rPr>
          <w:rFonts w:hint="eastAsia" w:ascii="仿宋_GB2312" w:hAnsi="仿宋_GB2312" w:eastAsia="仿宋_GB2312" w:cs="仿宋_GB2312"/>
          <w:kern w:val="0"/>
          <w:sz w:val="32"/>
          <w:szCs w:val="32"/>
        </w:rPr>
        <w:t>；社会保障和就业支出</w:t>
      </w:r>
      <w:r>
        <w:rPr>
          <w:rFonts w:ascii="仿宋_GB2312" w:hAnsi="仿宋_GB2312" w:eastAsia="仿宋_GB2312" w:cs="仿宋_GB2312"/>
          <w:kern w:val="0"/>
          <w:sz w:val="32"/>
          <w:szCs w:val="32"/>
        </w:rPr>
        <w:t>4.24</w:t>
      </w:r>
      <w:r>
        <w:rPr>
          <w:rFonts w:hint="eastAsia" w:ascii="仿宋_GB2312" w:hAnsi="仿宋_GB2312" w:eastAsia="仿宋_GB2312" w:cs="仿宋_GB2312"/>
          <w:kern w:val="0"/>
          <w:sz w:val="32"/>
          <w:szCs w:val="32"/>
        </w:rPr>
        <w:t>万元，占</w:t>
      </w:r>
      <w:r>
        <w:rPr>
          <w:rFonts w:ascii="仿宋_GB2312" w:hAnsi="仿宋_GB2312" w:eastAsia="仿宋_GB2312" w:cs="仿宋_GB2312"/>
          <w:kern w:val="0"/>
          <w:sz w:val="32"/>
          <w:szCs w:val="32"/>
        </w:rPr>
        <w:t>6.03%</w:t>
      </w:r>
      <w:r>
        <w:rPr>
          <w:rFonts w:hint="eastAsia" w:ascii="仿宋_GB2312" w:hAnsi="仿宋_GB2312" w:eastAsia="仿宋_GB2312" w:cs="仿宋_GB2312"/>
          <w:kern w:val="0"/>
          <w:sz w:val="32"/>
          <w:szCs w:val="32"/>
        </w:rPr>
        <w:t>。</w:t>
      </w:r>
    </w:p>
    <w:p>
      <w:pPr>
        <w:spacing w:line="560" w:lineRule="exact"/>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ascii="仿宋_GB2312" w:hAnsi="仿宋_GB2312" w:eastAsia="仿宋_GB2312" w:cs="Times New Roman"/>
          <w:color w:val="FF0000"/>
          <w:kern w:val="0"/>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年一般公共预算基本支出</w:t>
      </w:r>
      <w:r>
        <w:rPr>
          <w:rFonts w:ascii="仿宋_GB2312" w:hAnsi="仿宋_GB2312" w:eastAsia="仿宋_GB2312" w:cs="仿宋_GB2312"/>
          <w:kern w:val="0"/>
          <w:sz w:val="32"/>
          <w:szCs w:val="32"/>
        </w:rPr>
        <w:t>70.27</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spacing w:val="-1"/>
          <w:kern w:val="0"/>
          <w:sz w:val="32"/>
          <w:szCs w:val="32"/>
        </w:rPr>
        <w:t>人员经费</w:t>
      </w:r>
      <w:r>
        <w:rPr>
          <w:rFonts w:ascii="仿宋_GB2312" w:hAnsi="仿宋_GB2312" w:eastAsia="仿宋_GB2312" w:cs="仿宋_GB2312"/>
          <w:b/>
          <w:bCs/>
          <w:kern w:val="0"/>
          <w:sz w:val="32"/>
          <w:szCs w:val="32"/>
        </w:rPr>
        <w:t>67.86</w:t>
      </w:r>
      <w:r>
        <w:rPr>
          <w:rFonts w:hint="eastAsia" w:ascii="仿宋_GB2312" w:hAnsi="仿宋_GB2312" w:eastAsia="仿宋_GB2312" w:cs="仿宋_GB2312"/>
          <w:b/>
          <w:bCs/>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w:t>
      </w:r>
      <w:r>
        <w:rPr>
          <w:rFonts w:ascii="仿宋_GB2312" w:hAnsi="仿宋_GB2312" w:eastAsia="仿宋_GB2312" w:cs="仿宋_GB2312"/>
          <w:b/>
          <w:bCs/>
          <w:kern w:val="0"/>
          <w:sz w:val="32"/>
          <w:szCs w:val="32"/>
        </w:rPr>
        <w:t>2.41</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560" w:lineRule="exact"/>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kern w:val="0"/>
          <w:sz w:val="32"/>
          <w:szCs w:val="32"/>
        </w:rPr>
        <w:t>七、政府性基金预算支出预算情况说明</w:t>
      </w:r>
    </w:p>
    <w:p>
      <w:pPr>
        <w:spacing w:line="560" w:lineRule="exact"/>
        <w:ind w:firstLine="624" w:firstLineChars="200"/>
        <w:rPr>
          <w:rFonts w:ascii="仿宋_GB2312" w:hAnsi="仿宋_GB2312" w:eastAsia="仿宋_GB2312" w:cs="Times New Roman"/>
          <w:kern w:val="0"/>
          <w:sz w:val="32"/>
          <w:szCs w:val="32"/>
        </w:rPr>
      </w:pPr>
      <w:r>
        <w:rPr>
          <w:rFonts w:hint="eastAsia" w:ascii="仿宋_GB2312" w:hAnsi="仿宋_GB2312" w:eastAsia="仿宋_GB2312" w:cs="仿宋_GB2312"/>
          <w:kern w:val="0"/>
          <w:sz w:val="32"/>
          <w:szCs w:val="32"/>
        </w:rPr>
        <w:t>创业中心</w:t>
      </w:r>
      <w:r>
        <w:rPr>
          <w:rFonts w:ascii="仿宋_GB2312" w:hAnsi="仿宋_GB2312" w:eastAsia="仿宋_GB2312" w:cs="仿宋_GB2312"/>
          <w:kern w:val="0"/>
          <w:sz w:val="32"/>
          <w:szCs w:val="32"/>
        </w:rPr>
        <w:t>2018</w:t>
      </w:r>
      <w:r>
        <w:rPr>
          <w:rFonts w:hint="eastAsia" w:ascii="仿宋_GB2312" w:hAnsi="仿宋_GB2312" w:eastAsia="仿宋_GB2312" w:cs="仿宋_GB2312"/>
          <w:kern w:val="0"/>
          <w:sz w:val="32"/>
          <w:szCs w:val="32"/>
        </w:rPr>
        <w:t>年政府性基金预算支出</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万元</w:t>
      </w:r>
      <w:r>
        <w:rPr>
          <w:rFonts w:ascii="仿宋_GB2312" w:hAnsi="仿宋_GB2312" w:eastAsia="仿宋_GB2312" w:cs="仿宋_GB2312"/>
          <w:b/>
          <w:bCs/>
          <w:color w:val="FF0000"/>
          <w:kern w:val="0"/>
          <w:sz w:val="32"/>
          <w:szCs w:val="32"/>
        </w:rPr>
        <w:t xml:space="preserve"> </w:t>
      </w: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2018</w:t>
      </w:r>
      <w:r>
        <w:rPr>
          <w:rFonts w:hint="eastAsia" w:ascii="仿宋_GB2312" w:hAnsi="仿宋_GB2312" w:eastAsia="仿宋_GB2312" w:cs="仿宋_GB2312"/>
          <w:kern w:val="0"/>
          <w:sz w:val="32"/>
          <w:szCs w:val="32"/>
        </w:rPr>
        <w:t>年没有使用政府性基金预算拨款安排的支出。</w:t>
      </w:r>
    </w:p>
    <w:p>
      <w:pPr>
        <w:spacing w:line="560" w:lineRule="exact"/>
        <w:ind w:firstLine="624" w:firstLineChars="200"/>
        <w:rPr>
          <w:rFonts w:ascii="仿宋_GB2312" w:hAnsi="仿宋_GB2312" w:eastAsia="仿宋_GB2312" w:cs="Times New Roman"/>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560" w:lineRule="exact"/>
        <w:ind w:firstLine="624" w:firstLineChars="200"/>
        <w:rPr>
          <w:rFonts w:ascii="仿宋_GB2312" w:hAnsi="仿宋_GB2312" w:eastAsia="仿宋_GB2312" w:cs="Times New Roman"/>
          <w:kern w:val="0"/>
          <w:sz w:val="32"/>
          <w:szCs w:val="32"/>
        </w:rPr>
      </w:pPr>
      <w:r>
        <w:rPr>
          <w:rFonts w:hint="eastAsia" w:ascii="仿宋_GB2312" w:hAnsi="仿宋_GB2312" w:eastAsia="仿宋_GB2312" w:cs="仿宋_GB2312"/>
          <w:kern w:val="0"/>
          <w:sz w:val="32"/>
          <w:szCs w:val="32"/>
        </w:rPr>
        <w:t>创业中心</w:t>
      </w:r>
      <w:r>
        <w:rPr>
          <w:rFonts w:ascii="仿宋_GB2312" w:hAnsi="仿宋_GB2312" w:eastAsia="仿宋_GB2312" w:cs="仿宋_GB2312"/>
          <w:kern w:val="0"/>
          <w:sz w:val="32"/>
          <w:szCs w:val="32"/>
        </w:rPr>
        <w:t>2018</w:t>
      </w:r>
      <w:r>
        <w:rPr>
          <w:rFonts w:hint="eastAsia" w:ascii="仿宋_GB2312" w:hAnsi="仿宋_GB2312" w:eastAsia="仿宋_GB2312" w:cs="仿宋_GB2312"/>
          <w:kern w:val="0"/>
          <w:sz w:val="32"/>
          <w:szCs w:val="32"/>
        </w:rPr>
        <w:t>年国有资金经营预算支出</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万元</w:t>
      </w:r>
      <w:r>
        <w:rPr>
          <w:rFonts w:ascii="仿宋_GB2312" w:hAnsi="仿宋_GB2312" w:eastAsia="仿宋_GB2312" w:cs="仿宋_GB2312"/>
          <w:b/>
          <w:bCs/>
          <w:color w:val="FF0000"/>
          <w:kern w:val="0"/>
          <w:sz w:val="32"/>
          <w:szCs w:val="32"/>
        </w:rPr>
        <w:t xml:space="preserve"> </w:t>
      </w:r>
      <w:r>
        <w:rPr>
          <w:rFonts w:hint="eastAsia" w:ascii="仿宋_GB2312" w:hAnsi="仿宋_GB2312" w:eastAsia="仿宋_GB2312" w:cs="仿宋_GB2312"/>
          <w:kern w:val="0"/>
          <w:sz w:val="32"/>
          <w:szCs w:val="32"/>
        </w:rPr>
        <w:t>。我单位</w:t>
      </w:r>
      <w:r>
        <w:rPr>
          <w:rFonts w:ascii="仿宋_GB2312" w:hAnsi="仿宋_GB2312" w:eastAsia="仿宋_GB2312" w:cs="仿宋_GB2312"/>
          <w:kern w:val="0"/>
          <w:sz w:val="32"/>
          <w:szCs w:val="32"/>
        </w:rPr>
        <w:t>2018</w:t>
      </w:r>
      <w:r>
        <w:rPr>
          <w:rFonts w:hint="eastAsia" w:ascii="仿宋_GB2312" w:hAnsi="仿宋_GB2312" w:eastAsia="仿宋_GB2312" w:cs="仿宋_GB2312"/>
          <w:kern w:val="0"/>
          <w:sz w:val="32"/>
          <w:szCs w:val="32"/>
        </w:rPr>
        <w:t>年没有使用国有资本经营预算拨款安排的支出。</w:t>
      </w:r>
    </w:p>
    <w:p>
      <w:pPr>
        <w:spacing w:line="560" w:lineRule="exact"/>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kern w:val="0"/>
          <w:sz w:val="32"/>
          <w:szCs w:val="32"/>
        </w:rPr>
        <w:t>九、“三公”经费支出预算情况说明</w:t>
      </w:r>
    </w:p>
    <w:p>
      <w:pPr>
        <w:widowControl/>
        <w:ind w:firstLine="624" w:firstLineChars="200"/>
        <w:jc w:val="left"/>
        <w:rPr>
          <w:rFonts w:ascii="仿宋_GB2312" w:hAnsi="仿宋_GB2312" w:eastAsia="仿宋_GB2312" w:cs="Times New Roman"/>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 xml:space="preserve">2018 </w:t>
      </w:r>
      <w:r>
        <w:rPr>
          <w:rFonts w:hint="eastAsia" w:ascii="仿宋_GB2312" w:hAnsi="仿宋_GB2312" w:eastAsia="仿宋_GB2312" w:cs="仿宋_GB2312"/>
          <w:sz w:val="32"/>
          <w:szCs w:val="32"/>
        </w:rPr>
        <w:t>年“三公”经费预算为</w:t>
      </w:r>
      <w:r>
        <w:rPr>
          <w:rFonts w:ascii="仿宋_GB2312" w:hAnsi="仿宋_GB2312" w:eastAsia="仿宋_GB2312" w:cs="仿宋_GB2312"/>
          <w:kern w:val="0"/>
          <w:sz w:val="32"/>
          <w:szCs w:val="32"/>
        </w:rPr>
        <w:t>0</w:t>
      </w:r>
      <w:r>
        <w:rPr>
          <w:rFonts w:hint="eastAsia" w:ascii="仿宋_GB2312" w:hAnsi="仿宋_GB2312" w:eastAsia="仿宋_GB2312" w:cs="仿宋_GB2312"/>
          <w:sz w:val="32"/>
          <w:szCs w:val="32"/>
        </w:rPr>
        <w:t>万元。</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具体支出情况如下：</w:t>
      </w:r>
    </w:p>
    <w:p>
      <w:pPr>
        <w:numPr>
          <w:ilvl w:val="0"/>
          <w:numId w:val="3"/>
        </w:numPr>
        <w:kinsoku w:val="0"/>
        <w:overflowPunct w:val="0"/>
        <w:autoSpaceDE w:val="0"/>
        <w:autoSpaceDN w:val="0"/>
        <w:adjustRightInd w:val="0"/>
        <w:snapToGrid w:val="0"/>
        <w:spacing w:line="360" w:lineRule="auto"/>
        <w:ind w:firstLine="620" w:firstLineChars="200"/>
        <w:rPr>
          <w:rFonts w:ascii="仿宋_GB2312" w:hAnsi="仿宋_GB2312" w:eastAsia="仿宋_GB2312" w:cs="Times New Roman"/>
          <w:sz w:val="32"/>
          <w:szCs w:val="32"/>
        </w:rPr>
      </w:pPr>
      <w:r>
        <w:rPr>
          <w:rFonts w:hint="eastAsia" w:ascii="仿宋_GB2312" w:hAnsi="仿宋_GB2312" w:eastAsia="仿宋_GB2312" w:cs="仿宋_GB2312"/>
          <w:b/>
          <w:bCs/>
          <w:spacing w:val="-1"/>
          <w:kern w:val="0"/>
          <w:sz w:val="32"/>
          <w:szCs w:val="32"/>
        </w:rPr>
        <w:t>因公出国（境）费</w:t>
      </w:r>
      <w:r>
        <w:rPr>
          <w:rFonts w:ascii="仿宋_GB2312" w:hAnsi="仿宋_GB2312" w:eastAsia="仿宋_GB2312" w:cs="仿宋_GB2312"/>
          <w:sz w:val="32"/>
          <w:szCs w:val="32"/>
        </w:rPr>
        <w:t xml:space="preserve"> </w:t>
      </w:r>
      <w:r>
        <w:rPr>
          <w:rFonts w:ascii="仿宋_GB2312" w:hAnsi="仿宋_GB2312" w:eastAsia="仿宋_GB2312" w:cs="仿宋_GB2312"/>
          <w:kern w:val="0"/>
          <w:sz w:val="32"/>
          <w:szCs w:val="32"/>
        </w:rPr>
        <w:t>0</w:t>
      </w:r>
      <w:r>
        <w:rPr>
          <w:rFonts w:hint="eastAsia" w:ascii="仿宋_GB2312" w:hAnsi="仿宋_GB2312" w:eastAsia="仿宋_GB2312" w:cs="仿宋_GB2312"/>
          <w:sz w:val="32"/>
          <w:szCs w:val="32"/>
        </w:rPr>
        <w:t>万元。预算数与</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年持平。</w:t>
      </w:r>
    </w:p>
    <w:p>
      <w:pPr>
        <w:numPr>
          <w:ilvl w:val="0"/>
          <w:numId w:val="3"/>
        </w:numPr>
        <w:kinsoku w:val="0"/>
        <w:overflowPunct w:val="0"/>
        <w:autoSpaceDE w:val="0"/>
        <w:autoSpaceDN w:val="0"/>
        <w:adjustRightInd w:val="0"/>
        <w:snapToGrid w:val="0"/>
        <w:spacing w:line="560" w:lineRule="exact"/>
        <w:ind w:firstLine="621"/>
        <w:outlineLvl w:val="0"/>
        <w:rPr>
          <w:rFonts w:ascii="仿宋_GB2312" w:hAnsi="仿宋_GB2312" w:eastAsia="仿宋_GB2312" w:cs="Times New Roman"/>
          <w:sz w:val="32"/>
          <w:szCs w:val="32"/>
        </w:rPr>
      </w:pPr>
      <w:r>
        <w:rPr>
          <w:rFonts w:hint="eastAsia" w:ascii="仿宋_GB2312" w:hAnsi="仿宋_GB2312" w:eastAsia="仿宋_GB2312" w:cs="仿宋_GB2312"/>
          <w:b/>
          <w:bCs/>
          <w:spacing w:val="-1"/>
          <w:kern w:val="0"/>
          <w:sz w:val="32"/>
          <w:szCs w:val="32"/>
        </w:rPr>
        <w:t>公务用车购置及运行费</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元。预算数与2017年持平。</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bCs/>
          <w:spacing w:val="-1"/>
          <w:kern w:val="0"/>
          <w:sz w:val="32"/>
          <w:szCs w:val="32"/>
        </w:rPr>
        <w:t>（三）公务接待费</w:t>
      </w:r>
      <w:r>
        <w:rPr>
          <w:rFonts w:ascii="仿宋_GB2312" w:hAnsi="仿宋_GB2312" w:eastAsia="仿宋_GB2312" w:cs="仿宋_GB2312"/>
          <w:kern w:val="0"/>
          <w:sz w:val="32"/>
          <w:szCs w:val="32"/>
        </w:rPr>
        <w:t>0</w:t>
      </w:r>
      <w:r>
        <w:rPr>
          <w:rFonts w:hint="eastAsia" w:ascii="仿宋_GB2312" w:hAnsi="仿宋_GB2312" w:eastAsia="仿宋_GB2312" w:cs="仿宋_GB2312"/>
          <w:sz w:val="32"/>
          <w:szCs w:val="32"/>
        </w:rPr>
        <w:t>万元，预算数与2017年持平。</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Times New Roman"/>
          <w:sz w:val="32"/>
          <w:szCs w:val="32"/>
        </w:rPr>
      </w:pPr>
      <w:r>
        <w:rPr>
          <w:rFonts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Times New Roman"/>
          <w:sz w:val="32"/>
          <w:szCs w:val="32"/>
        </w:rPr>
      </w:pPr>
      <w:r>
        <w:rPr>
          <w:rFonts w:hint="eastAsia" w:ascii="仿宋_GB2312" w:hAnsi="仿宋_GB2312" w:eastAsia="仿宋_GB2312" w:cs="仿宋_GB2312"/>
          <w:b/>
          <w:bCs/>
          <w:kern w:val="0"/>
          <w:sz w:val="32"/>
          <w:szCs w:val="32"/>
        </w:rPr>
        <w:t>（一）机关运行经费支出情况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年机关运行经费支出预算</w:t>
      </w:r>
      <w:r>
        <w:rPr>
          <w:rFonts w:hint="eastAsia" w:ascii="仿宋_GB2312" w:hAnsi="仿宋_GB2312" w:eastAsia="仿宋_GB2312" w:cs="仿宋_GB2312"/>
          <w:kern w:val="0"/>
          <w:sz w:val="32"/>
          <w:szCs w:val="32"/>
        </w:rPr>
        <w:t>2.41</w:t>
      </w:r>
      <w:r>
        <w:rPr>
          <w:rFonts w:hint="eastAsia" w:ascii="仿宋_GB2312" w:hAnsi="仿宋_GB2312" w:eastAsia="仿宋_GB2312" w:cs="仿宋_GB2312"/>
          <w:sz w:val="32"/>
          <w:szCs w:val="32"/>
        </w:rPr>
        <w:t>万元，主要保障机关机构正常运转及正常履职需要的办公费、水电费、物业费、维修费、差旅费等支出，比</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.32</w:t>
      </w:r>
      <w:r>
        <w:rPr>
          <w:rFonts w:hint="eastAsia" w:ascii="仿宋_GB2312" w:hAnsi="仿宋_GB2312" w:eastAsia="仿宋_GB2312" w:cs="仿宋_GB2312"/>
          <w:kern w:val="0"/>
          <w:sz w:val="32"/>
          <w:szCs w:val="32"/>
        </w:rPr>
        <w:t>万元。主要原因：深入贯彻中央“八项规定”精神等工作要求，严格控制行政成本，大力压缩经费支出。</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Times New Roman"/>
          <w:b/>
          <w:bCs/>
          <w:kern w:val="0"/>
          <w:sz w:val="32"/>
          <w:szCs w:val="32"/>
        </w:rPr>
      </w:pPr>
      <w:r>
        <w:rPr>
          <w:rFonts w:hint="eastAsia" w:ascii="仿宋_GB2312" w:hAnsi="仿宋_GB2312" w:eastAsia="仿宋_GB2312" w:cs="仿宋_GB2312"/>
          <w:b/>
          <w:bCs/>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年政府采购预算安排</w:t>
      </w:r>
      <w:r>
        <w:rPr>
          <w:rFonts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万元、政府采购工程预算</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万元、政府采购服务预算</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万元。</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Times New Roman"/>
          <w:b/>
          <w:bCs/>
          <w:kern w:val="0"/>
          <w:sz w:val="32"/>
          <w:szCs w:val="32"/>
        </w:rPr>
      </w:pPr>
      <w:r>
        <w:rPr>
          <w:rFonts w:hint="eastAsia" w:ascii="仿宋_GB2312" w:hAnsi="仿宋_GB2312" w:eastAsia="仿宋_GB2312" w:cs="仿宋_GB2312"/>
          <w:b/>
          <w:bCs/>
          <w:kern w:val="0"/>
          <w:sz w:val="32"/>
          <w:szCs w:val="32"/>
        </w:rPr>
        <w:t>（三）关于预算绩效管理工作开展情况说明</w:t>
      </w:r>
    </w:p>
    <w:p>
      <w:pPr>
        <w:ind w:firstLine="624"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我部门对</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个项目进行了预算绩效评价，涉及资金</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0万元。</w:t>
      </w:r>
      <w:r>
        <w:rPr>
          <w:sz w:val="28"/>
          <w:szCs w:val="28"/>
        </w:rPr>
        <w:t xml:space="preserve"> </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年，我部门纳入预算绩效管理的支出总额为</w:t>
      </w:r>
      <w:r>
        <w:rPr>
          <w:rFonts w:hint="eastAsia" w:ascii="仿宋_GB2312" w:hAnsi="仿宋_GB2312" w:eastAsia="仿宋_GB2312" w:cs="仿宋_GB2312"/>
          <w:kern w:val="0"/>
          <w:sz w:val="32"/>
          <w:szCs w:val="32"/>
        </w:rPr>
        <w:t>70.27</w:t>
      </w:r>
      <w:r>
        <w:rPr>
          <w:rFonts w:hint="eastAsia" w:ascii="仿宋_GB2312" w:hAnsi="仿宋_GB2312" w:eastAsia="仿宋_GB2312" w:cs="仿宋_GB2312"/>
          <w:sz w:val="32"/>
          <w:szCs w:val="32"/>
        </w:rPr>
        <w:t>万元，其中人员经费支出</w:t>
      </w:r>
      <w:r>
        <w:rPr>
          <w:rFonts w:hint="eastAsia" w:ascii="仿宋_GB2312" w:hAnsi="仿宋_GB2312" w:eastAsia="仿宋_GB2312" w:cs="仿宋_GB2312"/>
          <w:kern w:val="0"/>
          <w:sz w:val="32"/>
          <w:szCs w:val="32"/>
        </w:rPr>
        <w:t>67.86</w:t>
      </w:r>
      <w:r>
        <w:rPr>
          <w:rFonts w:hint="eastAsia" w:ascii="仿宋_GB2312" w:hAnsi="仿宋_GB2312" w:eastAsia="仿宋_GB2312" w:cs="仿宋_GB2312"/>
          <w:sz w:val="32"/>
          <w:szCs w:val="32"/>
        </w:rPr>
        <w:t>万元，公用经费支出</w:t>
      </w:r>
      <w:r>
        <w:rPr>
          <w:rFonts w:hint="eastAsia" w:ascii="仿宋_GB2312" w:hAnsi="仿宋_GB2312" w:eastAsia="仿宋_GB2312" w:cs="仿宋_GB2312"/>
          <w:kern w:val="0"/>
          <w:sz w:val="32"/>
          <w:szCs w:val="32"/>
        </w:rPr>
        <w:t>2.41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w:t>
      </w:r>
    </w:p>
    <w:p>
      <w:pPr>
        <w:ind w:left="404" w:leftChars="200"/>
        <w:rPr>
          <w:rFonts w:ascii="仿宋_GB2312" w:hAnsi="仿宋_GB2312" w:eastAsia="仿宋_GB2312" w:cs="Times New Roman"/>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kern w:val="0"/>
          <w:sz w:val="32"/>
          <w:szCs w:val="32"/>
        </w:rPr>
      </w:pPr>
      <w:r>
        <w:rPr>
          <w:rFonts w:ascii="仿宋_GB2312" w:hAnsi="仿宋_GB2312" w:eastAsia="仿宋_GB2312" w:cs="仿宋_GB2312"/>
          <w:kern w:val="0"/>
          <w:sz w:val="32"/>
          <w:szCs w:val="32"/>
        </w:rPr>
        <w:t>2017</w:t>
      </w:r>
      <w:r>
        <w:rPr>
          <w:rFonts w:hint="eastAsia" w:ascii="仿宋_GB2312" w:hAnsi="仿宋_GB2312" w:eastAsia="仿宋_GB2312" w:cs="仿宋_GB2312"/>
          <w:kern w:val="0"/>
          <w:sz w:val="32"/>
          <w:szCs w:val="32"/>
        </w:rPr>
        <w:t>年期末，创业中心固定资产总额</w:t>
      </w:r>
      <w:r>
        <w:rPr>
          <w:rFonts w:ascii="仿宋_GB2312" w:hAnsi="仿宋_GB2312" w:eastAsia="仿宋_GB2312" w:cs="仿宋_GB2312"/>
          <w:kern w:val="0"/>
          <w:sz w:val="32"/>
          <w:szCs w:val="32"/>
        </w:rPr>
        <w:t>0</w:t>
      </w:r>
      <w:r>
        <w:rPr>
          <w:rFonts w:hint="eastAsia" w:ascii="仿宋_GB2312" w:hAnsi="仿宋_GB2312" w:eastAsia="仿宋_GB2312" w:cs="仿宋_GB2312"/>
          <w:kern w:val="0"/>
          <w:sz w:val="32"/>
          <w:szCs w:val="32"/>
        </w:rPr>
        <w:t>万元</w:t>
      </w:r>
      <w:r>
        <w:rPr>
          <w:rFonts w:hint="eastAsia" w:ascii="仿宋_GB2312" w:hAnsi="宋体" w:eastAsia="仿宋_GB2312" w:cs="仿宋_GB2312"/>
          <w:sz w:val="32"/>
          <w:szCs w:val="32"/>
        </w:rPr>
        <w:t>。</w:t>
      </w:r>
    </w:p>
    <w:p>
      <w:pPr>
        <w:widowControl/>
        <w:ind w:firstLine="624" w:firstLineChars="200"/>
        <w:jc w:val="left"/>
        <w:rPr>
          <w:rFonts w:ascii="仿宋_GB2312" w:hAnsi="仿宋_GB2312" w:eastAsia="仿宋_GB2312" w:cs="Times New Roman"/>
          <w:b/>
          <w:bCs/>
          <w:kern w:val="0"/>
          <w:sz w:val="32"/>
          <w:szCs w:val="32"/>
        </w:rPr>
      </w:pPr>
      <w:r>
        <w:rPr>
          <w:rFonts w:hint="eastAsia" w:ascii="仿宋_GB2312" w:hAnsi="仿宋_GB2312" w:eastAsia="仿宋_GB2312" w:cs="仿宋_GB2312"/>
          <w:b/>
          <w:bCs/>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年我单位按照</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b/>
          <w:bCs/>
          <w:kern w:val="0"/>
          <w:sz w:val="32"/>
          <w:szCs w:val="32"/>
        </w:rPr>
      </w:pPr>
    </w:p>
    <w:p>
      <w:pPr>
        <w:adjustRightInd w:val="0"/>
        <w:snapToGrid w:val="0"/>
        <w:spacing w:line="360" w:lineRule="auto"/>
        <w:jc w:val="center"/>
        <w:rPr>
          <w:rFonts w:ascii="仿宋_GB2312" w:hAnsi="仿宋_GB2312" w:eastAsia="仿宋_GB2312" w:cs="Times New Roman"/>
          <w:sz w:val="32"/>
          <w:szCs w:val="32"/>
        </w:rPr>
      </w:pPr>
      <w:r>
        <w:rPr>
          <w:rFonts w:hint="eastAsia" w:ascii="仿宋_GB2312" w:hAnsi="仿宋_GB2312" w:eastAsia="仿宋_GB2312" w:cs="仿宋_GB2312"/>
          <w:sz w:val="32"/>
          <w:szCs w:val="32"/>
        </w:rPr>
        <w:t>第三部分</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二、事业收入：是指事业单位开展专业活动及辅助活动所取</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三、其他收入：是指部门取得的除“财政拨款”、“事业收入”、“事业单位经营收入”等以外的收入。</w:t>
      </w:r>
      <w:r>
        <w:rPr>
          <w:rFonts w:ascii="仿宋_GB2312" w:hAnsi="仿宋_GB2312" w:eastAsia="仿宋_GB2312" w:cs="仿宋_GB2312"/>
          <w:sz w:val="32"/>
          <w:szCs w:val="32"/>
        </w:rPr>
        <w:t xml:space="preserve">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宋体" w:eastAsia="仿宋_GB2312" w:cs="仿宋_GB2312"/>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仿宋_GB2312"/>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p>
    <w:p>
      <w:pPr>
        <w:adjustRightInd w:val="0"/>
        <w:snapToGrid w:val="0"/>
        <w:spacing w:line="360" w:lineRule="auto"/>
        <w:ind w:firstLine="624"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附件：创业中心</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ascii="仿宋_GB2312" w:hAnsi="仿宋_GB2312" w:eastAsia="仿宋_GB2312" w:cs="Times New Roman"/>
          <w:sz w:val="32"/>
          <w:szCs w:val="32"/>
        </w:rPr>
      </w:pPr>
    </w:p>
    <w:p>
      <w:pPr>
        <w:adjustRightInd w:val="0"/>
        <w:snapToGrid w:val="0"/>
        <w:spacing w:line="360" w:lineRule="auto"/>
        <w:ind w:firstLine="624" w:firstLineChars="200"/>
        <w:rPr>
          <w:rFonts w:ascii="仿宋_GB2312" w:hAnsi="仿宋_GB2312" w:eastAsia="仿宋_GB2312" w:cs="Times New Roman"/>
        </w:rPr>
      </w:pPr>
      <w:r>
        <w:rPr>
          <w:rFonts w:ascii="仿宋_GB2312" w:hAnsi="仿宋_GB2312" w:eastAsia="仿宋_GB2312" w:cs="仿宋_GB2312"/>
          <w:sz w:val="32"/>
          <w:szCs w:val="32"/>
        </w:rPr>
        <w:t xml:space="preserve">                           2018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sectPr>
      <w:pgSz w:w="11906" w:h="16838"/>
      <w:pgMar w:top="2154" w:right="1474" w:bottom="1757" w:left="1587" w:header="851" w:footer="992" w:gutter="0"/>
      <w:cols w:space="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20B83"/>
    <w:multiLevelType w:val="multilevel"/>
    <w:tmpl w:val="40C20B83"/>
    <w:lvl w:ilvl="0" w:tentative="0">
      <w:start w:val="1"/>
      <w:numFmt w:val="japaneseCounting"/>
      <w:lvlText w:val="%1、"/>
      <w:lvlJc w:val="left"/>
      <w:pPr>
        <w:tabs>
          <w:tab w:val="left" w:pos="1342"/>
        </w:tabs>
        <w:ind w:left="1342" w:hanging="720"/>
      </w:pPr>
      <w:rPr>
        <w:rFonts w:hint="default"/>
      </w:rPr>
    </w:lvl>
    <w:lvl w:ilvl="1" w:tentative="0">
      <w:start w:val="1"/>
      <w:numFmt w:val="lowerLetter"/>
      <w:lvlText w:val="%2)"/>
      <w:lvlJc w:val="left"/>
      <w:pPr>
        <w:tabs>
          <w:tab w:val="left" w:pos="1462"/>
        </w:tabs>
        <w:ind w:left="1462" w:hanging="420"/>
      </w:pPr>
    </w:lvl>
    <w:lvl w:ilvl="2" w:tentative="0">
      <w:start w:val="1"/>
      <w:numFmt w:val="lowerRoman"/>
      <w:lvlText w:val="%3."/>
      <w:lvlJc w:val="right"/>
      <w:pPr>
        <w:tabs>
          <w:tab w:val="left" w:pos="1882"/>
        </w:tabs>
        <w:ind w:left="1882" w:hanging="420"/>
      </w:pPr>
    </w:lvl>
    <w:lvl w:ilvl="3" w:tentative="0">
      <w:start w:val="1"/>
      <w:numFmt w:val="decimal"/>
      <w:lvlText w:val="%4."/>
      <w:lvlJc w:val="left"/>
      <w:pPr>
        <w:tabs>
          <w:tab w:val="left" w:pos="2302"/>
        </w:tabs>
        <w:ind w:left="2302" w:hanging="420"/>
      </w:pPr>
    </w:lvl>
    <w:lvl w:ilvl="4" w:tentative="0">
      <w:start w:val="1"/>
      <w:numFmt w:val="lowerLetter"/>
      <w:lvlText w:val="%5)"/>
      <w:lvlJc w:val="left"/>
      <w:pPr>
        <w:tabs>
          <w:tab w:val="left" w:pos="2722"/>
        </w:tabs>
        <w:ind w:left="2722" w:hanging="420"/>
      </w:pPr>
    </w:lvl>
    <w:lvl w:ilvl="5" w:tentative="0">
      <w:start w:val="1"/>
      <w:numFmt w:val="lowerRoman"/>
      <w:lvlText w:val="%6."/>
      <w:lvlJc w:val="right"/>
      <w:pPr>
        <w:tabs>
          <w:tab w:val="left" w:pos="3142"/>
        </w:tabs>
        <w:ind w:left="3142" w:hanging="420"/>
      </w:pPr>
    </w:lvl>
    <w:lvl w:ilvl="6" w:tentative="0">
      <w:start w:val="1"/>
      <w:numFmt w:val="decimal"/>
      <w:lvlText w:val="%7."/>
      <w:lvlJc w:val="left"/>
      <w:pPr>
        <w:tabs>
          <w:tab w:val="left" w:pos="3562"/>
        </w:tabs>
        <w:ind w:left="3562" w:hanging="420"/>
      </w:pPr>
    </w:lvl>
    <w:lvl w:ilvl="7" w:tentative="0">
      <w:start w:val="1"/>
      <w:numFmt w:val="lowerLetter"/>
      <w:lvlText w:val="%8)"/>
      <w:lvlJc w:val="left"/>
      <w:pPr>
        <w:tabs>
          <w:tab w:val="left" w:pos="3982"/>
        </w:tabs>
        <w:ind w:left="3982" w:hanging="420"/>
      </w:pPr>
    </w:lvl>
    <w:lvl w:ilvl="8" w:tentative="0">
      <w:start w:val="1"/>
      <w:numFmt w:val="lowerRoman"/>
      <w:lvlText w:val="%9."/>
      <w:lvlJc w:val="right"/>
      <w:pPr>
        <w:tabs>
          <w:tab w:val="left" w:pos="4402"/>
        </w:tabs>
        <w:ind w:left="4402" w:hanging="420"/>
      </w:pPr>
    </w:lvl>
  </w:abstractNum>
  <w:abstractNum w:abstractNumId="1">
    <w:nsid w:val="5A4F2DAA"/>
    <w:multiLevelType w:val="singleLevel"/>
    <w:tmpl w:val="5A4F2DAA"/>
    <w:lvl w:ilvl="0" w:tentative="0">
      <w:start w:val="1"/>
      <w:numFmt w:val="chineseCounting"/>
      <w:suff w:val="nothing"/>
      <w:lvlText w:val="（%1）"/>
      <w:lvlJc w:val="left"/>
    </w:lvl>
  </w:abstractNum>
  <w:abstractNum w:abstractNumId="2">
    <w:nsid w:val="5A796DEC"/>
    <w:multiLevelType w:val="singleLevel"/>
    <w:tmpl w:val="5A796DEC"/>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F6F07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2966</Words>
  <Characters>387</Characters>
  <Lines>3</Lines>
  <Paragraphs>6</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HEJJ</cp:lastModifiedBy>
  <cp:lastPrinted>2018-08-06T00:36:00Z</cp:lastPrinted>
  <dcterms:modified xsi:type="dcterms:W3CDTF">2019-03-21T02:46:42Z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