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>
      <w:pPr>
        <w:widowControl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</w:rPr>
        <w:t>焦作市城乡一体化示范区安全生产监察大队</w:t>
      </w:r>
    </w:p>
    <w:p>
      <w:pPr>
        <w:jc w:val="center"/>
        <w:rPr>
          <w:rFonts w:ascii="黑体" w:hAnsi="黑体" w:eastAsia="黑体" w:cs="黑体"/>
          <w:color w:val="000000"/>
          <w:sz w:val="52"/>
          <w:szCs w:val="52"/>
        </w:rPr>
      </w:pPr>
      <w:r>
        <w:rPr>
          <w:rFonts w:hint="eastAsia" w:ascii="黑体" w:hAnsi="黑体" w:eastAsia="黑体" w:cs="黑体"/>
          <w:color w:val="000000"/>
          <w:sz w:val="52"/>
          <w:szCs w:val="52"/>
        </w:rPr>
        <w:t>2018年度部门预算</w:t>
      </w:r>
    </w:p>
    <w:p>
      <w:pPr>
        <w:jc w:val="center"/>
        <w:rPr>
          <w:rFonts w:ascii="黑体" w:hAnsi="黑体" w:eastAsia="黑体" w:cs="黑体"/>
          <w:color w:val="000000"/>
          <w:sz w:val="52"/>
          <w:szCs w:val="52"/>
        </w:rPr>
      </w:pPr>
    </w:p>
    <w:p>
      <w:pPr>
        <w:jc w:val="center"/>
        <w:rPr>
          <w:rFonts w:ascii="黑体" w:hAnsi="黑体" w:eastAsia="黑体" w:cs="黑体"/>
          <w:color w:val="000000"/>
          <w:sz w:val="52"/>
          <w:szCs w:val="52"/>
        </w:rPr>
      </w:pPr>
    </w:p>
    <w:p>
      <w:pPr>
        <w:jc w:val="center"/>
        <w:rPr>
          <w:rFonts w:ascii="黑体" w:hAnsi="黑体" w:eastAsia="黑体" w:cs="黑体"/>
          <w:color w:val="000000"/>
          <w:sz w:val="52"/>
          <w:szCs w:val="52"/>
        </w:rPr>
      </w:pPr>
    </w:p>
    <w:p>
      <w:pPr>
        <w:jc w:val="center"/>
        <w:rPr>
          <w:rFonts w:ascii="黑体" w:hAnsi="黑体" w:eastAsia="黑体" w:cs="黑体"/>
          <w:color w:val="000000"/>
          <w:sz w:val="52"/>
          <w:szCs w:val="52"/>
        </w:rPr>
      </w:pPr>
    </w:p>
    <w:p>
      <w:pPr>
        <w:jc w:val="center"/>
        <w:rPr>
          <w:rFonts w:ascii="黑体" w:hAnsi="黑体" w:eastAsia="黑体" w:cs="黑体"/>
          <w:color w:val="000000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adjustRightInd w:val="0"/>
        <w:snapToGrid w:val="0"/>
        <w:spacing w:line="360" w:lineRule="auto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ascii="仿宋_GB2312" w:hAnsi="仿宋_GB2312" w:eastAsia="仿宋_GB2312" w:cs="仿宋_GB2312"/>
          <w:color w:val="000000"/>
          <w:sz w:val="44"/>
          <w:szCs w:val="44"/>
        </w:rPr>
      </w:pPr>
      <w:r>
        <w:rPr>
          <w:rFonts w:hint="eastAsia" w:ascii="仿宋_GB2312" w:hAnsi="仿宋_GB2312" w:eastAsia="仿宋_GB2312" w:cs="仿宋_GB2312"/>
          <w:color w:val="000000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color w:val="000000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ascii="仿宋_GB2312" w:hAnsi="仿宋_GB2312" w:eastAsia="仿宋_GB2312" w:cs="仿宋_GB2312"/>
          <w:color w:val="000000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第一部分  概况</w:t>
      </w:r>
      <w:r>
        <w:rPr>
          <w:rFonts w:hint="eastAsia" w:ascii="仿宋_GB2312" w:hAnsi="仿宋_GB2312" w:eastAsia="仿宋_GB2312" w:cs="仿宋_GB2312"/>
          <w:color w:val="000000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第二部门 安全生产监察大队2018年部门预算情况说明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000000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安全生产监察大队2018</w:t>
      </w:r>
      <w:r>
        <w:rPr>
          <w:rFonts w:hint="eastAsia" w:ascii="仿宋_GB2312" w:hAnsi="仿宋_GB2312" w:eastAsia="仿宋_GB2312" w:cs="仿宋_GB2312"/>
          <w:color w:val="000000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安全生产监察大队概况</w:t>
      </w:r>
    </w:p>
    <w:p>
      <w:pPr>
        <w:adjustRightInd w:val="0"/>
        <w:snapToGrid w:val="0"/>
        <w:spacing w:line="360" w:lineRule="auto"/>
        <w:ind w:firstLine="624" w:firstLineChars="200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楷体_GB2312" w:eastAsia="仿宋_GB2312" w:cs="楷体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机构设置情况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hAnsi="楷体_GB2312" w:eastAsia="仿宋_GB2312" w:cs="楷体_GB2312"/>
          <w:bCs/>
          <w:color w:val="000000"/>
          <w:sz w:val="32"/>
          <w:szCs w:val="32"/>
        </w:rPr>
        <w:t>隶属于焦作</w:t>
      </w:r>
      <w:r>
        <w:rPr>
          <w:rFonts w:hint="eastAsia" w:ascii="仿宋_GB2312" w:hAnsi="楷体_GB2312" w:eastAsia="仿宋_GB2312" w:cs="楷体_GB2312"/>
          <w:bCs/>
          <w:color w:val="000000"/>
          <w:sz w:val="32"/>
          <w:szCs w:val="32"/>
          <w:lang w:eastAsia="zh-CN"/>
        </w:rPr>
        <w:t>市</w:t>
      </w:r>
      <w:r>
        <w:rPr>
          <w:rFonts w:hint="eastAsia" w:ascii="仿宋_GB2312" w:hAnsi="楷体_GB2312" w:eastAsia="仿宋_GB2312" w:cs="楷体_GB2312"/>
          <w:bCs/>
          <w:color w:val="000000"/>
          <w:sz w:val="32"/>
          <w:szCs w:val="32"/>
        </w:rPr>
        <w:t>城乡一体化示范区发展改革规划局领导，机构规格相当于副科级，实有工作人员6名，副科级人员1名，经费形式为示范区财政全额拨款。</w:t>
      </w:r>
    </w:p>
    <w:p>
      <w:pPr>
        <w:spacing w:line="360" w:lineRule="auto"/>
        <w:ind w:firstLine="624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（二）部门职责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楷体_GB2312" w:eastAsia="仿宋_GB2312" w:cs="楷体_GB2312"/>
          <w:bCs/>
          <w:color w:val="000000"/>
          <w:sz w:val="32"/>
          <w:szCs w:val="32"/>
        </w:rPr>
      </w:pPr>
      <w:r>
        <w:rPr>
          <w:rFonts w:hint="eastAsia" w:ascii="仿宋_GB2312" w:hAnsi="楷体_GB2312" w:eastAsia="仿宋_GB2312" w:cs="楷体_GB2312"/>
          <w:bCs/>
          <w:color w:val="000000"/>
          <w:sz w:val="32"/>
          <w:szCs w:val="32"/>
        </w:rPr>
        <w:t>（1）负责依法开展安全生产监察和进行综合监督管理；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楷体_GB2312" w:eastAsia="仿宋_GB2312" w:cs="楷体_GB2312"/>
          <w:bCs/>
          <w:color w:val="000000"/>
          <w:sz w:val="32"/>
          <w:szCs w:val="32"/>
        </w:rPr>
      </w:pPr>
      <w:r>
        <w:rPr>
          <w:rFonts w:hint="eastAsia" w:ascii="仿宋_GB2312" w:hAnsi="楷体_GB2312" w:eastAsia="仿宋_GB2312" w:cs="楷体_GB2312"/>
          <w:bCs/>
          <w:color w:val="000000"/>
          <w:sz w:val="32"/>
          <w:szCs w:val="32"/>
        </w:rPr>
        <w:t>（2）负责辖区内专项安全整治活动督查；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楷体_GB2312" w:eastAsia="仿宋_GB2312" w:cs="楷体_GB2312"/>
          <w:bCs/>
          <w:color w:val="000000"/>
          <w:sz w:val="32"/>
          <w:szCs w:val="32"/>
        </w:rPr>
      </w:pPr>
      <w:r>
        <w:rPr>
          <w:rFonts w:hint="eastAsia" w:ascii="仿宋_GB2312" w:hAnsi="楷体_GB2312" w:eastAsia="仿宋_GB2312" w:cs="楷体_GB2312"/>
          <w:bCs/>
          <w:color w:val="000000"/>
          <w:sz w:val="32"/>
          <w:szCs w:val="32"/>
        </w:rPr>
        <w:t>（3）负责对辖区内生产经营单位违反安全生产行为实施行政处罚；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楷体_GB2312" w:eastAsia="仿宋_GB2312" w:cs="楷体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楷体_GB2312" w:eastAsia="仿宋_GB2312" w:cs="楷体_GB2312"/>
          <w:bCs/>
          <w:color w:val="000000"/>
          <w:sz w:val="32"/>
          <w:szCs w:val="32"/>
        </w:rPr>
        <w:t>（4）负责安全生产事故的调查、处理和结案等工作</w:t>
      </w:r>
      <w:r>
        <w:rPr>
          <w:rFonts w:hint="eastAsia" w:ascii="仿宋_GB2312" w:hAnsi="楷体_GB2312" w:eastAsia="仿宋_GB2312" w:cs="楷体_GB2312"/>
          <w:bCs/>
          <w:color w:val="000000"/>
          <w:sz w:val="32"/>
          <w:szCs w:val="32"/>
          <w:lang w:val="en-US" w:eastAsia="zh-CN"/>
        </w:rPr>
        <w:t>;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（5）承办管委会、发展改革规划局交办的其他事项。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" w:hAnsi="仿宋" w:eastAsia="仿宋" w:cs="仿宋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楷体_GB2312" w:eastAsia="仿宋_GB2312" w:cs="楷体_GB2312"/>
          <w:bCs/>
          <w:color w:val="000000"/>
          <w:sz w:val="32"/>
          <w:szCs w:val="32"/>
        </w:rPr>
      </w:pPr>
      <w:r>
        <w:rPr>
          <w:rFonts w:hint="eastAsia" w:ascii="仿宋_GB2312" w:hAnsi="楷体_GB2312" w:eastAsia="仿宋_GB2312" w:cs="楷体_GB2312"/>
          <w:bCs/>
          <w:color w:val="000000"/>
          <w:sz w:val="32"/>
          <w:szCs w:val="32"/>
        </w:rPr>
        <w:t>二、安全生产监察大队预算单位构成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楷体_GB2312" w:eastAsia="仿宋_GB2312" w:cs="楷体_GB2312"/>
          <w:bCs/>
          <w:color w:val="000000"/>
          <w:sz w:val="32"/>
          <w:szCs w:val="32"/>
        </w:rPr>
      </w:pPr>
      <w:r>
        <w:rPr>
          <w:rFonts w:hint="eastAsia" w:ascii="仿宋_GB2312" w:hAnsi="楷体_GB2312" w:eastAsia="仿宋_GB2312" w:cs="楷体_GB2312"/>
          <w:bCs/>
          <w:color w:val="000000"/>
          <w:sz w:val="32"/>
          <w:szCs w:val="32"/>
        </w:rPr>
        <w:t>焦作市城乡一体化示范区安全生产监察大队</w:t>
      </w:r>
      <w:r>
        <w:rPr>
          <w:rFonts w:hint="eastAsia" w:ascii="仿宋_GB2312" w:hAnsi="楷体_GB2312" w:eastAsia="仿宋_GB2312" w:cs="楷体_GB2312"/>
          <w:bCs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楷体_GB2312" w:eastAsia="仿宋_GB2312" w:cs="楷体_GB2312"/>
          <w:bCs/>
          <w:color w:val="000000"/>
          <w:sz w:val="32"/>
          <w:szCs w:val="32"/>
        </w:rPr>
        <w:t>隶属于焦作</w:t>
      </w:r>
      <w:r>
        <w:rPr>
          <w:rFonts w:hint="eastAsia" w:ascii="仿宋_GB2312" w:hAnsi="楷体_GB2312" w:eastAsia="仿宋_GB2312" w:cs="楷体_GB2312"/>
          <w:bCs/>
          <w:color w:val="000000"/>
          <w:sz w:val="32"/>
          <w:szCs w:val="32"/>
          <w:lang w:eastAsia="zh-CN"/>
        </w:rPr>
        <w:t>市</w:t>
      </w:r>
      <w:r>
        <w:rPr>
          <w:rFonts w:hint="eastAsia" w:ascii="仿宋_GB2312" w:hAnsi="楷体_GB2312" w:eastAsia="仿宋_GB2312" w:cs="楷体_GB2312"/>
          <w:bCs/>
          <w:color w:val="000000"/>
          <w:sz w:val="32"/>
          <w:szCs w:val="32"/>
        </w:rPr>
        <w:t>城乡一体化示范区发展改革规划局</w:t>
      </w:r>
      <w:r>
        <w:rPr>
          <w:rFonts w:hint="eastAsia" w:ascii="仿宋_GB2312" w:hAnsi="楷体_GB2312" w:eastAsia="仿宋_GB2312" w:cs="楷体_GB2312"/>
          <w:bCs/>
          <w:color w:val="000000"/>
          <w:sz w:val="32"/>
          <w:szCs w:val="32"/>
          <w:lang w:eastAsia="zh-CN"/>
        </w:rPr>
        <w:t>。</w:t>
      </w: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安全生产监察大队2018年度部门预算情况说明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Arial" w:hAnsi="Arial" w:eastAsia="仿宋_GB2312" w:cs="Arial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2018年收入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63.84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万元，支出总计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63.84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万元，与2017年收支相比，收、支总计各增加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10.86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20.5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%。主要原因： 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 xml:space="preserve">人员经费增加。  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2018年收入合计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63.84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万元，其中：一般公共预算收入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63.84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政府性基金预算收入0万元；国有资本经营预算收入0万元；其他收入0万元。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三、支出预算总体情况说明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2018年支出合计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63.84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万元，其中：基本支出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62.84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98.43%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；项目支出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1.57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%。 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2018年一般公共预算收支预算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63.84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万元。与 2017年相比，一般公共预算收支预算增加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10.86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20.5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%，主要原因：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人员经费增加。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无政府性基金预算。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2018年一般公共预算支出年初预算为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63.84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一般公共服务支出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63.84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万元，占100%。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2018年一般公共预算基本支出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62.84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color w:val="00000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59.38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主要包括：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基本工资、奖金、绩效工资、机关事业单位基本养老保险缴费、职业年金缴费、医疗保险缴费、其他社会保障缴费、住房公积金；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公用经费3.46万元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，主要包括：办公费、水费、电费、公务用车运行维护费。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七、政府性基金预算支出预算情况说明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我单位2018年没有使用政府性基金预算拨款安排的支出。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八、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国有资本经营预算支出预算情况说明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我单位2018年没有使用国有资本经营预算拨款安排的支出。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九、“三公”经费支出预算情况说明</w:t>
      </w:r>
    </w:p>
    <w:p>
      <w:pPr>
        <w:widowControl/>
        <w:ind w:firstLine="624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 年“三公”经费预算为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1.9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 比 2017年预算数减少2.1万元，下降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52.5%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具体支出情况如下：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0万元，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与2017年持平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pacing w:val="-1"/>
          <w:kern w:val="0"/>
          <w:sz w:val="32"/>
          <w:szCs w:val="32"/>
        </w:rPr>
        <w:t>公务用车购置及运行费1.9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元。其中公务用车运行维护费1.9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，主要用于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车辆加油和日常维修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,比2017年减少0.1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万元，较上年下降5%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主要原因：厉行节约，从严控制公务用车运行费用的支出。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（三）公务接待费0万元，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</w:rPr>
        <w:t>比2017年减少2万元，下降100%。主要原因：深入贯彻中央“八项规定”精神等工作要求，严格控制“三公”经费。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404" w:leftChars="200" w:firstLine="312" w:firstLineChars="1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十、其他重要事项的情况说明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（一）机关运行经费支出情况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2018年机关运行经费支出预算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3.46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万元，主要保障机关机构正常运转及正常履职需要的办公费、水电费、物业费、维修费、差旅费等支出，比2017年增加1.39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主要原因：业务量增多，办公经费支出增加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2018年政府采购预算安排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（三）关于预算绩效管理工作开展情况说明</w:t>
      </w:r>
    </w:p>
    <w:p>
      <w:pPr>
        <w:ind w:firstLine="612" w:firstLineChars="196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2017年，我部门对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个项目进行了预算绩效评价，涉及资金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万元。2018年，我部门纳入预算绩效管理的支出总额为63.84万元，其中人员经费支出59.38万元，公用经费支出3.46万元，支出项目共1个，支出总额1万元，其中预算支出100万元及100万元以上项目0个，支出总额0万元。</w:t>
      </w:r>
    </w:p>
    <w:p>
      <w:pPr>
        <w:ind w:firstLine="624" w:firstLineChars="20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无</w:t>
      </w:r>
    </w:p>
    <w:p>
      <w:pPr>
        <w:widowControl/>
        <w:ind w:firstLine="624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（五）关于预算部门构成说明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2018年我单位按照市财政预算公开要求，将所属预算单位全部纳入预算公开范围。</w:t>
      </w: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一、财政拨款收入：是指市级财政当年拨付的资金。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、“三公”经费：是指纳入市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七、机关运行经费：是指为保障行政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机构正常运转及正常履职需要的办公费、水电费、日常维修、物业费、维修费、差旅费、</w:t>
      </w: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附件：安全生产监察大队2018年度部门预算表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2018年10月9日</w:t>
      </w:r>
    </w:p>
    <w:sectPr>
      <w:pgSz w:w="11906" w:h="16838"/>
      <w:pgMar w:top="2154" w:right="1474" w:bottom="1757" w:left="1587" w:header="851" w:footer="992" w:gutter="0"/>
      <w:cols w:space="0" w:num="1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F2DAA"/>
    <w:multiLevelType w:val="singleLevel"/>
    <w:tmpl w:val="5A4F2DAA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796DEC"/>
    <w:multiLevelType w:val="singleLevel"/>
    <w:tmpl w:val="5A796DEC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BBB12A5"/>
    <w:multiLevelType w:val="singleLevel"/>
    <w:tmpl w:val="5BBB12A5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32331B0"/>
    <w:rsid w:val="12035B66"/>
    <w:rsid w:val="22CD1DC6"/>
    <w:rsid w:val="29FE6F3F"/>
    <w:rsid w:val="414C2818"/>
    <w:rsid w:val="4BE43CBD"/>
    <w:rsid w:val="4F712384"/>
    <w:rsid w:val="54C63468"/>
    <w:rsid w:val="64630662"/>
    <w:rsid w:val="71BC53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XLGS.CN.COM</Company>
  <Pages>8</Pages>
  <Words>369</Words>
  <Characters>2108</Characters>
  <Lines>17</Lines>
  <Paragraphs>4</Paragraphs>
  <TotalTime>3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NTKO</cp:lastModifiedBy>
  <cp:lastPrinted>2018-08-06T00:36:00Z</cp:lastPrinted>
  <dcterms:modified xsi:type="dcterms:W3CDTF">2019-03-18T08:33:32Z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