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仿宋_GB2312" w:hAnsi="仿宋_GB2312" w:eastAsia="仿宋_GB2312" w:cs="仿宋_GB2312"/>
          <w:color w:val="000000"/>
          <w:sz w:val="32"/>
          <w:szCs w:val="32"/>
        </w:rPr>
      </w:pPr>
      <w:r>
        <w:rPr>
          <w:rFonts w:hint="eastAsia" w:ascii="黑体" w:hAnsi="黑体" w:eastAsia="黑体"/>
          <w:color w:val="000000"/>
          <w:sz w:val="32"/>
          <w:szCs w:val="32"/>
        </w:rPr>
        <w:t>附件1</w:t>
      </w:r>
      <w:r>
        <w:rPr>
          <w:rFonts w:hint="eastAsia" w:ascii="仿宋_GB2312" w:hAnsi="仿宋_GB2312" w:eastAsia="仿宋_GB2312" w:cs="仿宋_GB2312"/>
          <w:color w:val="000000"/>
          <w:sz w:val="32"/>
          <w:szCs w:val="32"/>
        </w:rPr>
        <w:t>：</w:t>
      </w:r>
    </w:p>
    <w:p>
      <w:pPr>
        <w:widowControl/>
        <w:jc w:val="left"/>
        <w:rPr>
          <w:rFonts w:ascii="黑体" w:hAnsi="宋体" w:eastAsia="黑体" w:cs="宋体"/>
          <w:color w:val="000000"/>
          <w:kern w:val="0"/>
          <w:sz w:val="28"/>
          <w:szCs w:val="28"/>
        </w:rPr>
      </w:pPr>
    </w:p>
    <w:p>
      <w:pPr>
        <w:widowControl/>
        <w:jc w:val="left"/>
        <w:rPr>
          <w:rFonts w:ascii="黑体" w:hAnsi="宋体" w:eastAsia="黑体" w:cs="宋体"/>
          <w:color w:val="000000"/>
          <w:kern w:val="0"/>
          <w:sz w:val="28"/>
          <w:szCs w:val="28"/>
        </w:rPr>
      </w:pPr>
    </w:p>
    <w:p>
      <w:pPr>
        <w:widowControl/>
        <w:jc w:val="left"/>
        <w:rPr>
          <w:rFonts w:ascii="黑体" w:hAnsi="宋体" w:eastAsia="黑体" w:cs="宋体"/>
          <w:color w:val="000000"/>
          <w:kern w:val="0"/>
          <w:sz w:val="28"/>
          <w:szCs w:val="28"/>
        </w:rPr>
      </w:pPr>
    </w:p>
    <w:p>
      <w:pPr>
        <w:widowControl/>
        <w:jc w:val="left"/>
        <w:rPr>
          <w:rFonts w:ascii="黑体" w:hAnsi="宋体" w:eastAsia="黑体" w:cs="宋体"/>
          <w:color w:val="000000"/>
          <w:kern w:val="0"/>
          <w:sz w:val="28"/>
          <w:szCs w:val="28"/>
        </w:rPr>
      </w:pPr>
    </w:p>
    <w:p>
      <w:pPr>
        <w:widowControl/>
        <w:jc w:val="left"/>
        <w:rPr>
          <w:rFonts w:ascii="黑体" w:hAnsi="宋体" w:eastAsia="黑体" w:cs="宋体"/>
          <w:color w:val="000000"/>
          <w:kern w:val="0"/>
          <w:sz w:val="28"/>
          <w:szCs w:val="28"/>
        </w:rPr>
      </w:pPr>
    </w:p>
    <w:p>
      <w:pPr>
        <w:jc w:val="center"/>
        <w:rPr>
          <w:rFonts w:ascii="黑体" w:hAnsi="黑体" w:eastAsia="黑体"/>
          <w:color w:val="000000"/>
          <w:sz w:val="52"/>
          <w:szCs w:val="52"/>
        </w:rPr>
      </w:pPr>
      <w:r>
        <w:rPr>
          <w:rFonts w:hint="eastAsia" w:ascii="黑体" w:hAnsi="黑体" w:eastAsia="黑体"/>
          <w:color w:val="000000"/>
          <w:sz w:val="48"/>
          <w:szCs w:val="48"/>
        </w:rPr>
        <w:t>焦作市城乡一体化示范区发展改革规划局</w:t>
      </w:r>
    </w:p>
    <w:p>
      <w:pPr>
        <w:jc w:val="center"/>
        <w:rPr>
          <w:rFonts w:ascii="黑体" w:hAnsi="黑体" w:eastAsia="黑体"/>
          <w:color w:val="000000"/>
          <w:sz w:val="52"/>
          <w:szCs w:val="52"/>
        </w:rPr>
      </w:pPr>
      <w:r>
        <w:rPr>
          <w:rFonts w:hint="eastAsia" w:ascii="黑体" w:hAnsi="黑体" w:eastAsia="黑体"/>
          <w:color w:val="000000"/>
          <w:sz w:val="52"/>
          <w:szCs w:val="52"/>
        </w:rPr>
        <w:t>2018年度部门预算</w:t>
      </w:r>
    </w:p>
    <w:p>
      <w:pPr>
        <w:jc w:val="center"/>
        <w:rPr>
          <w:rFonts w:ascii="黑体" w:hAnsi="黑体" w:eastAsia="黑体"/>
          <w:color w:val="000000"/>
          <w:sz w:val="52"/>
          <w:szCs w:val="52"/>
        </w:rPr>
      </w:pPr>
    </w:p>
    <w:p>
      <w:pPr>
        <w:jc w:val="center"/>
        <w:rPr>
          <w:rFonts w:ascii="黑体" w:hAnsi="黑体" w:eastAsia="黑体"/>
          <w:color w:val="000000"/>
          <w:sz w:val="52"/>
          <w:szCs w:val="52"/>
        </w:rPr>
      </w:pPr>
    </w:p>
    <w:p>
      <w:pPr>
        <w:jc w:val="center"/>
        <w:rPr>
          <w:rFonts w:ascii="黑体" w:hAnsi="黑体" w:eastAsia="黑体"/>
          <w:color w:val="000000"/>
          <w:sz w:val="52"/>
          <w:szCs w:val="52"/>
        </w:rPr>
      </w:pPr>
    </w:p>
    <w:p>
      <w:pPr>
        <w:jc w:val="center"/>
        <w:rPr>
          <w:rFonts w:ascii="黑体" w:hAnsi="黑体" w:eastAsia="黑体"/>
          <w:color w:val="000000"/>
          <w:sz w:val="52"/>
          <w:szCs w:val="52"/>
        </w:rPr>
      </w:pPr>
    </w:p>
    <w:p>
      <w:pPr>
        <w:jc w:val="center"/>
        <w:rPr>
          <w:rFonts w:ascii="黑体" w:hAnsi="黑体" w:eastAsia="黑体"/>
          <w:color w:val="000000"/>
          <w:sz w:val="52"/>
          <w:szCs w:val="52"/>
        </w:rPr>
      </w:pPr>
    </w:p>
    <w:p>
      <w:pPr>
        <w:adjustRightInd w:val="0"/>
        <w:snapToGrid w:val="0"/>
        <w:spacing w:line="360" w:lineRule="auto"/>
        <w:jc w:val="center"/>
        <w:rPr>
          <w:rFonts w:ascii="方正小标宋简体" w:hAnsi="方正小标宋简体" w:eastAsia="方正小标宋简体" w:cs="方正小标宋简体"/>
          <w:color w:val="000000"/>
          <w:sz w:val="44"/>
          <w:szCs w:val="44"/>
        </w:rPr>
      </w:pPr>
    </w:p>
    <w:p>
      <w:pPr>
        <w:adjustRightInd w:val="0"/>
        <w:snapToGrid w:val="0"/>
        <w:spacing w:line="360" w:lineRule="auto"/>
        <w:rPr>
          <w:rFonts w:ascii="方正小标宋简体" w:hAnsi="方正小标宋简体" w:eastAsia="方正小标宋简体" w:cs="方正小标宋简体"/>
          <w:color w:val="000000"/>
          <w:sz w:val="44"/>
          <w:szCs w:val="44"/>
        </w:rPr>
      </w:pPr>
    </w:p>
    <w:p>
      <w:pPr>
        <w:kinsoku w:val="0"/>
        <w:overflowPunct w:val="0"/>
        <w:adjustRightInd w:val="0"/>
        <w:snapToGrid w:val="0"/>
        <w:spacing w:line="360" w:lineRule="auto"/>
        <w:ind w:left="101" w:right="3569" w:firstLine="624" w:firstLineChars="200"/>
        <w:rPr>
          <w:rFonts w:ascii="仿宋_GB2312" w:hAnsi="仿宋_GB2312" w:eastAsia="仿宋_GB2312" w:cs="仿宋_GB2312"/>
          <w:color w:val="000000"/>
          <w:sz w:val="32"/>
          <w:szCs w:val="32"/>
        </w:rPr>
      </w:pPr>
    </w:p>
    <w:p>
      <w:pPr>
        <w:kinsoku w:val="0"/>
        <w:overflowPunct w:val="0"/>
        <w:adjustRightInd w:val="0"/>
        <w:snapToGrid w:val="0"/>
        <w:spacing w:line="360" w:lineRule="auto"/>
        <w:ind w:left="-142" w:right="51" w:firstLine="30" w:firstLineChars="7"/>
        <w:jc w:val="center"/>
        <w:rPr>
          <w:rFonts w:ascii="仿宋_GB2312" w:hAnsi="仿宋_GB2312" w:eastAsia="仿宋_GB2312" w:cs="仿宋_GB2312"/>
          <w:color w:val="000000"/>
          <w:sz w:val="44"/>
          <w:szCs w:val="44"/>
        </w:rPr>
      </w:pPr>
      <w:r>
        <w:rPr>
          <w:rFonts w:hint="eastAsia" w:ascii="仿宋_GB2312" w:hAnsi="仿宋_GB2312" w:eastAsia="仿宋_GB2312" w:cs="仿宋_GB2312"/>
          <w:color w:val="000000"/>
          <w:sz w:val="44"/>
          <w:szCs w:val="44"/>
        </w:rPr>
        <w:t>目</w:t>
      </w:r>
      <w:r>
        <w:rPr>
          <w:rFonts w:hint="eastAsia" w:ascii="仿宋_GB2312" w:hAnsi="仿宋_GB2312" w:eastAsia="仿宋_GB2312" w:cs="仿宋_GB2312"/>
          <w:color w:val="000000"/>
          <w:spacing w:val="2"/>
          <w:sz w:val="44"/>
          <w:szCs w:val="44"/>
        </w:rPr>
        <w:t xml:space="preserve"> </w:t>
      </w:r>
      <w:r>
        <w:rPr>
          <w:rFonts w:hint="eastAsia" w:ascii="仿宋_GB2312" w:hAnsi="仿宋_GB2312" w:eastAsia="仿宋_GB2312" w:cs="仿宋_GB2312"/>
          <w:color w:val="000000"/>
          <w:sz w:val="44"/>
          <w:szCs w:val="44"/>
        </w:rPr>
        <w:t>录</w:t>
      </w:r>
    </w:p>
    <w:p>
      <w:pPr>
        <w:kinsoku w:val="0"/>
        <w:overflowPunct w:val="0"/>
        <w:adjustRightInd w:val="0"/>
        <w:snapToGrid w:val="0"/>
        <w:spacing w:line="360" w:lineRule="auto"/>
        <w:ind w:right="3569" w:firstLine="624" w:firstLineChars="200"/>
        <w:rPr>
          <w:rFonts w:ascii="仿宋_GB2312" w:hAnsi="仿宋_GB2312" w:eastAsia="仿宋_GB2312" w:cs="仿宋_GB2312"/>
          <w:color w:val="000000"/>
          <w:w w:val="99"/>
          <w:sz w:val="32"/>
          <w:szCs w:val="32"/>
        </w:rPr>
      </w:pPr>
      <w:r>
        <w:rPr>
          <w:rFonts w:hint="eastAsia" w:ascii="仿宋_GB2312" w:hAnsi="仿宋_GB2312" w:eastAsia="仿宋_GB2312" w:cs="仿宋_GB2312"/>
          <w:b/>
          <w:bCs/>
          <w:color w:val="000000"/>
          <w:sz w:val="32"/>
          <w:szCs w:val="32"/>
        </w:rPr>
        <w:t>第一部分  概况</w:t>
      </w:r>
      <w:r>
        <w:rPr>
          <w:rFonts w:hint="eastAsia" w:ascii="仿宋_GB2312" w:hAnsi="仿宋_GB2312" w:eastAsia="仿宋_GB2312" w:cs="仿宋_GB2312"/>
          <w:color w:val="000000"/>
          <w:w w:val="99"/>
          <w:sz w:val="32"/>
          <w:szCs w:val="32"/>
        </w:rPr>
        <w:t xml:space="preserve"> </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一、主要职能</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二、部门预算单位构成</w:t>
      </w:r>
    </w:p>
    <w:p>
      <w:pPr>
        <w:kinsoku w:val="0"/>
        <w:overflowPunct w:val="0"/>
        <w:adjustRightInd w:val="0"/>
        <w:snapToGrid w:val="0"/>
        <w:spacing w:line="360" w:lineRule="auto"/>
        <w:ind w:right="521" w:firstLine="624"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第二部门 发展改革规划局2018年部门预算情况说明</w:t>
      </w:r>
    </w:p>
    <w:p>
      <w:pPr>
        <w:kinsoku w:val="0"/>
        <w:overflowPunct w:val="0"/>
        <w:adjustRightInd w:val="0"/>
        <w:snapToGrid w:val="0"/>
        <w:spacing w:line="360" w:lineRule="auto"/>
        <w:ind w:right="521" w:firstLine="624"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第三部分 名词解释</w:t>
      </w:r>
    </w:p>
    <w:p>
      <w:pPr>
        <w:kinsoku w:val="0"/>
        <w:overflowPunct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pacing w:val="-32"/>
          <w:sz w:val="32"/>
          <w:szCs w:val="32"/>
        </w:rPr>
        <w:t xml:space="preserve"> </w:t>
      </w:r>
      <w:r>
        <w:rPr>
          <w:rFonts w:hint="eastAsia" w:ascii="仿宋_GB2312" w:hAnsi="仿宋_GB2312" w:eastAsia="仿宋_GB2312" w:cs="仿宋_GB2312"/>
          <w:color w:val="000000"/>
          <w:sz w:val="32"/>
          <w:szCs w:val="32"/>
        </w:rPr>
        <w:t xml:space="preserve"> 发展改革规划局2018</w:t>
      </w:r>
      <w:r>
        <w:rPr>
          <w:rFonts w:hint="eastAsia" w:ascii="仿宋_GB2312" w:hAnsi="仿宋_GB2312" w:eastAsia="仿宋_GB2312" w:cs="仿宋_GB2312"/>
          <w:color w:val="000000"/>
          <w:spacing w:val="-116"/>
          <w:sz w:val="32"/>
          <w:szCs w:val="32"/>
        </w:rPr>
        <w:t xml:space="preserve"> </w:t>
      </w:r>
      <w:r>
        <w:rPr>
          <w:rFonts w:hint="eastAsia" w:ascii="仿宋_GB2312" w:hAnsi="仿宋_GB2312" w:eastAsia="仿宋_GB2312" w:cs="仿宋_GB2312"/>
          <w:color w:val="000000"/>
          <w:sz w:val="32"/>
          <w:szCs w:val="32"/>
        </w:rPr>
        <w:t>年度部门预算表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一、部门收支总体情况表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二、部门收入总体情况表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三、部门支出总体情况表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五、一般公共预算支出情况表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六、一般公共预算基本支出情况表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八、政府性基金预算支出情况表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九、国有资本经营预算收支情况表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十、机关运行经费</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十一、预算项目支出绩效目标表</w:t>
      </w:r>
    </w:p>
    <w:p>
      <w:pPr>
        <w:adjustRightInd w:val="0"/>
        <w:snapToGrid w:val="0"/>
        <w:spacing w:line="360" w:lineRule="auto"/>
        <w:ind w:firstLine="3744" w:firstLineChars="1200"/>
        <w:rPr>
          <w:rFonts w:ascii="仿宋_GB2312" w:hAnsi="仿宋_GB2312" w:eastAsia="仿宋_GB2312" w:cs="仿宋_GB2312"/>
          <w:color w:val="000000"/>
          <w:sz w:val="32"/>
          <w:szCs w:val="32"/>
        </w:rPr>
      </w:pPr>
    </w:p>
    <w:p>
      <w:pPr>
        <w:adjustRightInd w:val="0"/>
        <w:snapToGrid w:val="0"/>
        <w:spacing w:line="360" w:lineRule="auto"/>
        <w:ind w:firstLine="3744" w:firstLineChars="1200"/>
        <w:rPr>
          <w:rFonts w:ascii="仿宋_GB2312" w:hAnsi="仿宋_GB2312" w:eastAsia="仿宋_GB2312" w:cs="仿宋_GB2312"/>
          <w:b/>
          <w:bCs/>
          <w:color w:val="000000"/>
          <w:sz w:val="32"/>
          <w:szCs w:val="32"/>
        </w:rPr>
      </w:pPr>
    </w:p>
    <w:p>
      <w:pPr>
        <w:adjustRightInd w:val="0"/>
        <w:snapToGrid w:val="0"/>
        <w:spacing w:line="360" w:lineRule="auto"/>
        <w:ind w:firstLine="3744" w:firstLineChars="1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第一部分</w:t>
      </w:r>
    </w:p>
    <w:p>
      <w:pPr>
        <w:adjustRightInd w:val="0"/>
        <w:snapToGrid w:val="0"/>
        <w:spacing w:line="360" w:lineRule="auto"/>
        <w:jc w:val="center"/>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发展改革规划局部门概况</w:t>
      </w:r>
    </w:p>
    <w:p>
      <w:pPr>
        <w:adjustRightInd w:val="0"/>
        <w:snapToGrid w:val="0"/>
        <w:spacing w:line="360" w:lineRule="auto"/>
        <w:jc w:val="center"/>
        <w:rPr>
          <w:rFonts w:ascii="仿宋_GB2312" w:hAnsi="仿宋_GB2312" w:eastAsia="仿宋_GB2312" w:cs="仿宋_GB2312"/>
          <w:b/>
          <w:bCs/>
          <w:color w:val="000000"/>
          <w:sz w:val="32"/>
          <w:szCs w:val="32"/>
        </w:rPr>
      </w:pPr>
    </w:p>
    <w:p>
      <w:pPr>
        <w:numPr>
          <w:ilvl w:val="0"/>
          <w:numId w:val="1"/>
        </w:numPr>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主要职能</w:t>
      </w:r>
    </w:p>
    <w:p>
      <w:pPr>
        <w:numPr>
          <w:ilvl w:val="0"/>
          <w:numId w:val="2"/>
        </w:numPr>
        <w:kinsoku w:val="0"/>
        <w:overflowPunct w:val="0"/>
        <w:adjustRightInd w:val="0"/>
        <w:snapToGrid w:val="0"/>
        <w:spacing w:line="360" w:lineRule="auto"/>
        <w:ind w:right="3569" w:firstLine="624"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机构设置情况</w:t>
      </w:r>
    </w:p>
    <w:p>
      <w:pPr>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 w:hAnsi="仿宋" w:eastAsia="仿宋" w:cs="仿宋"/>
          <w:color w:val="000000"/>
          <w:sz w:val="32"/>
          <w:szCs w:val="32"/>
        </w:rPr>
        <w:t>焦作市城乡一体化示范区发展改革规划局下设项目服务中心、安全生产监察大队、价格认证中心三个事业单位，规格为副县级，实有工作人员4名，副县级1名，正科级人员2名，副科级人员1名，经费供给方式为示范区财政全额拨付。</w:t>
      </w:r>
    </w:p>
    <w:p>
      <w:pPr>
        <w:spacing w:line="360" w:lineRule="auto"/>
        <w:ind w:firstLine="624" w:firstLineChars="200"/>
        <w:rPr>
          <w:rFonts w:ascii="仿宋" w:hAnsi="仿宋" w:eastAsia="仿宋" w:cs="仿宋"/>
          <w:color w:val="000000"/>
          <w:sz w:val="32"/>
          <w:szCs w:val="32"/>
        </w:rPr>
      </w:pPr>
      <w:r>
        <w:rPr>
          <w:rFonts w:hint="eastAsia" w:ascii="仿宋" w:hAnsi="仿宋" w:eastAsia="仿宋" w:cs="仿宋"/>
          <w:color w:val="000000"/>
          <w:sz w:val="32"/>
          <w:szCs w:val="32"/>
        </w:rPr>
        <w:t>（二）部门职责</w:t>
      </w:r>
    </w:p>
    <w:p>
      <w:pPr>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（1）主要职责是负责拟定并组织实施示范区总体规划、国民经济和社会发展中长期规划；</w:t>
      </w:r>
    </w:p>
    <w:p>
      <w:pPr>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（2）负责经济监测、预测和预警；</w:t>
      </w:r>
    </w:p>
    <w:p>
      <w:pPr>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（3）负责规划重大项目布局，安排政府投资项目计划和重点建设项目计划并组织实施；</w:t>
      </w:r>
    </w:p>
    <w:p>
      <w:pPr>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（4）负责安全生产监督管理工作；</w:t>
      </w:r>
    </w:p>
    <w:p>
      <w:pPr>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（5）负责研究制定产业机构调整的措施，推进科技创新、节能减排和循环经济发展；</w:t>
      </w:r>
    </w:p>
    <w:p>
      <w:pPr>
        <w:adjustRightInd w:val="0"/>
        <w:snapToGrid w:val="0"/>
        <w:spacing w:line="360" w:lineRule="auto"/>
        <w:ind w:firstLine="624" w:firstLineChars="200"/>
        <w:outlineLvl w:val="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（6）指导、协调和服务区内工商企业发展</w:t>
      </w:r>
      <w:r>
        <w:rPr>
          <w:rFonts w:hint="eastAsia" w:ascii="仿宋_GB2312" w:hAnsi="仿宋_GB2312" w:eastAsia="仿宋_GB2312" w:cs="仿宋_GB2312"/>
          <w:color w:val="000000"/>
          <w:sz w:val="32"/>
          <w:szCs w:val="32"/>
          <w:lang w:val="en-US" w:eastAsia="zh-CN"/>
        </w:rPr>
        <w:t>;</w:t>
      </w:r>
    </w:p>
    <w:p>
      <w:pPr>
        <w:adjustRightInd w:val="0"/>
        <w:snapToGrid w:val="0"/>
        <w:spacing w:line="360" w:lineRule="auto"/>
        <w:ind w:firstLine="624" w:firstLineChars="200"/>
        <w:outlineLvl w:val="0"/>
        <w:rPr>
          <w:rFonts w:ascii="仿宋" w:hAnsi="仿宋" w:eastAsia="仿宋" w:cs="仿宋"/>
          <w:color w:val="000000"/>
          <w:sz w:val="32"/>
          <w:szCs w:val="32"/>
        </w:rPr>
      </w:pPr>
      <w:r>
        <w:rPr>
          <w:rFonts w:hint="eastAsia" w:ascii="仿宋_GB2312" w:hAnsi="仿宋_GB2312" w:eastAsia="仿宋_GB2312" w:cs="仿宋_GB2312"/>
          <w:color w:val="000000"/>
          <w:sz w:val="32"/>
          <w:szCs w:val="32"/>
        </w:rPr>
        <w:t>（7）</w:t>
      </w:r>
      <w:r>
        <w:rPr>
          <w:rFonts w:hint="eastAsia" w:ascii="仿宋" w:hAnsi="仿宋" w:eastAsia="仿宋" w:cs="仿宋"/>
          <w:color w:val="000000"/>
          <w:sz w:val="32"/>
          <w:szCs w:val="32"/>
        </w:rPr>
        <w:t>承办管委会交办的其他事项。</w:t>
      </w:r>
    </w:p>
    <w:p>
      <w:pPr>
        <w:adjustRightInd w:val="0"/>
        <w:snapToGrid w:val="0"/>
        <w:spacing w:line="360" w:lineRule="auto"/>
        <w:ind w:firstLine="624" w:firstLineChars="200"/>
        <w:outlineLvl w:val="0"/>
        <w:rPr>
          <w:rFonts w:ascii="仿宋" w:hAnsi="仿宋" w:eastAsia="仿宋" w:cs="仿宋"/>
          <w:color w:val="000000"/>
          <w:sz w:val="32"/>
          <w:szCs w:val="32"/>
        </w:rPr>
      </w:pPr>
    </w:p>
    <w:p>
      <w:pPr>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二、发展改革规划局部门预算单位构成</w:t>
      </w:r>
    </w:p>
    <w:p>
      <w:pPr>
        <w:widowControl/>
        <w:ind w:firstLine="624" w:firstLineChars="200"/>
        <w:jc w:val="left"/>
        <w:rPr>
          <w:rFonts w:ascii="仿宋_GB2312" w:hAnsi="仿宋_GB2312" w:eastAsia="仿宋_GB2312" w:cs="仿宋_GB2312"/>
          <w:color w:val="000000"/>
          <w:kern w:val="0"/>
          <w:sz w:val="32"/>
          <w:szCs w:val="32"/>
        </w:rPr>
      </w:pPr>
      <w:r>
        <w:rPr>
          <w:rFonts w:hint="eastAsia" w:ascii="仿宋" w:hAnsi="仿宋" w:eastAsia="仿宋" w:cs="仿宋"/>
          <w:color w:val="000000"/>
          <w:sz w:val="32"/>
          <w:szCs w:val="32"/>
        </w:rPr>
        <w:t>焦作市城乡一体化示范区发展改革规划局下设项目服务中心、安全生产监察大队、价格认证中心三个事业单位。</w:t>
      </w:r>
    </w:p>
    <w:p>
      <w:pPr>
        <w:widowControl/>
        <w:shd w:val="clear" w:color="auto" w:fill="FFFFFF"/>
        <w:spacing w:line="450" w:lineRule="atLeast"/>
        <w:jc w:val="center"/>
        <w:rPr>
          <w:rFonts w:ascii="仿宋_GB2312" w:hAnsi="仿宋_GB2312" w:eastAsia="仿宋_GB2312" w:cs="仿宋_GB2312"/>
          <w:b/>
          <w:bCs/>
          <w:color w:val="000000"/>
          <w:sz w:val="32"/>
          <w:szCs w:val="32"/>
        </w:rPr>
      </w:pPr>
    </w:p>
    <w:p>
      <w:pPr>
        <w:widowControl/>
        <w:shd w:val="clear" w:color="auto" w:fill="FFFFFF"/>
        <w:spacing w:line="450" w:lineRule="atLeast"/>
        <w:jc w:val="center"/>
        <w:rPr>
          <w:rFonts w:ascii="仿宋_GB2312" w:hAnsi="仿宋_GB2312" w:eastAsia="仿宋_GB2312" w:cs="仿宋_GB2312"/>
          <w:b/>
          <w:bCs/>
          <w:color w:val="000000"/>
          <w:sz w:val="32"/>
          <w:szCs w:val="32"/>
        </w:rPr>
      </w:pPr>
    </w:p>
    <w:p>
      <w:pPr>
        <w:widowControl/>
        <w:shd w:val="clear" w:color="auto" w:fill="FFFFFF"/>
        <w:spacing w:line="450" w:lineRule="atLeast"/>
        <w:jc w:val="center"/>
        <w:rPr>
          <w:rFonts w:ascii="仿宋_GB2312" w:hAnsi="仿宋_GB2312" w:eastAsia="仿宋_GB2312" w:cs="仿宋_GB2312"/>
          <w:b/>
          <w:bCs/>
          <w:color w:val="000000"/>
          <w:sz w:val="32"/>
          <w:szCs w:val="32"/>
        </w:rPr>
      </w:pPr>
    </w:p>
    <w:p>
      <w:pPr>
        <w:widowControl/>
        <w:shd w:val="clear" w:color="auto" w:fill="FFFFFF"/>
        <w:spacing w:line="450" w:lineRule="atLeast"/>
        <w:jc w:val="center"/>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br w:type="page"/>
      </w:r>
    </w:p>
    <w:p>
      <w:pPr>
        <w:widowControl/>
        <w:shd w:val="clear" w:color="auto" w:fill="FFFFFF"/>
        <w:spacing w:line="450" w:lineRule="atLeast"/>
        <w:jc w:val="center"/>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第二部分</w:t>
      </w:r>
    </w:p>
    <w:p>
      <w:pPr>
        <w:widowControl/>
        <w:shd w:val="clear" w:color="auto" w:fill="FFFFFF"/>
        <w:spacing w:line="450" w:lineRule="atLeast"/>
        <w:jc w:val="center"/>
        <w:rPr>
          <w:rFonts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发展改革规划局部门2018年度部门预算情况说明</w:t>
      </w:r>
    </w:p>
    <w:p>
      <w:pPr>
        <w:adjustRightInd w:val="0"/>
        <w:snapToGrid w:val="0"/>
        <w:spacing w:line="360" w:lineRule="auto"/>
        <w:ind w:firstLine="624" w:firstLineChars="200"/>
        <w:outlineLvl w:val="0"/>
        <w:rPr>
          <w:rFonts w:ascii="仿宋_GB2312" w:hAnsi="仿宋_GB2312" w:eastAsia="仿宋_GB2312" w:cs="仿宋_GB2312"/>
          <w:color w:val="000000"/>
          <w:sz w:val="32"/>
          <w:szCs w:val="32"/>
        </w:rPr>
      </w:pPr>
    </w:p>
    <w:p>
      <w:pPr>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一、收入支出预算总体情况说明</w:t>
      </w:r>
    </w:p>
    <w:p>
      <w:pPr>
        <w:adjustRightInd w:val="0"/>
        <w:snapToGrid w:val="0"/>
        <w:spacing w:line="360" w:lineRule="auto"/>
        <w:ind w:firstLine="624" w:firstLineChars="200"/>
        <w:rPr>
          <w:rFonts w:ascii="Arial" w:hAnsi="Arial" w:eastAsia="仿宋_GB2312" w:cs="Arial"/>
          <w:color w:val="000000"/>
          <w:sz w:val="32"/>
          <w:szCs w:val="32"/>
        </w:rPr>
      </w:pPr>
      <w:r>
        <w:rPr>
          <w:rFonts w:hint="eastAsia" w:ascii="仿宋_GB2312" w:hAnsi="仿宋_GB2312" w:eastAsia="仿宋_GB2312" w:cs="仿宋_GB2312"/>
          <w:color w:val="000000"/>
          <w:sz w:val="32"/>
          <w:szCs w:val="32"/>
        </w:rPr>
        <w:t xml:space="preserve"> 2018年收入</w:t>
      </w:r>
      <w:r>
        <w:rPr>
          <w:rFonts w:hint="eastAsia" w:ascii="Arial" w:hAnsi="Arial" w:eastAsia="仿宋_GB2312" w:cs="Arial"/>
          <w:color w:val="000000"/>
          <w:sz w:val="32"/>
          <w:szCs w:val="32"/>
        </w:rPr>
        <w:t>350.37</w:t>
      </w:r>
      <w:r>
        <w:rPr>
          <w:rFonts w:hint="eastAsia" w:ascii="仿宋_GB2312" w:hAnsi="仿宋_GB2312" w:eastAsia="仿宋_GB2312" w:cs="仿宋_GB2312"/>
          <w:color w:val="000000"/>
          <w:sz w:val="32"/>
          <w:szCs w:val="32"/>
        </w:rPr>
        <w:t>万元，支出总计</w:t>
      </w:r>
      <w:r>
        <w:rPr>
          <w:rFonts w:hint="eastAsia" w:ascii="Arial" w:hAnsi="Arial" w:eastAsia="仿宋_GB2312" w:cs="Arial"/>
          <w:color w:val="000000"/>
          <w:sz w:val="32"/>
          <w:szCs w:val="32"/>
        </w:rPr>
        <w:t>350.37</w:t>
      </w:r>
      <w:r>
        <w:rPr>
          <w:rFonts w:hint="eastAsia" w:ascii="仿宋_GB2312" w:hAnsi="仿宋_GB2312" w:eastAsia="仿宋_GB2312" w:cs="仿宋_GB2312"/>
          <w:color w:val="000000"/>
          <w:sz w:val="32"/>
          <w:szCs w:val="32"/>
        </w:rPr>
        <w:t>万元，与2017年536.86万元相比，收、支总计各减少</w:t>
      </w:r>
      <w:r>
        <w:rPr>
          <w:rFonts w:hint="eastAsia" w:ascii="Arial" w:hAnsi="Arial" w:eastAsia="仿宋_GB2312" w:cs="Arial"/>
          <w:color w:val="000000"/>
          <w:sz w:val="32"/>
          <w:szCs w:val="32"/>
        </w:rPr>
        <w:t>186.49</w:t>
      </w:r>
      <w:r>
        <w:rPr>
          <w:rFonts w:hint="eastAsia" w:ascii="仿宋_GB2312" w:hAnsi="仿宋_GB2312" w:eastAsia="仿宋_GB2312" w:cs="仿宋_GB2312"/>
          <w:color w:val="000000"/>
          <w:sz w:val="32"/>
          <w:szCs w:val="32"/>
        </w:rPr>
        <w:t>万元，各下降</w:t>
      </w:r>
      <w:r>
        <w:rPr>
          <w:rFonts w:hint="eastAsia" w:ascii="Arial" w:hAnsi="Arial" w:eastAsia="仿宋_GB2312" w:cs="Arial"/>
          <w:color w:val="000000"/>
          <w:sz w:val="32"/>
          <w:szCs w:val="32"/>
        </w:rPr>
        <w:t>34.74</w:t>
      </w:r>
      <w:r>
        <w:rPr>
          <w:rFonts w:hint="eastAsia" w:ascii="仿宋_GB2312" w:hAnsi="仿宋_GB2312" w:eastAsia="仿宋_GB2312" w:cs="仿宋_GB2312"/>
          <w:color w:val="000000"/>
          <w:sz w:val="32"/>
          <w:szCs w:val="32"/>
        </w:rPr>
        <w:t>%。主要原因：焦作科技大市场房屋租赁费用和蒙牛集群建设专项经费今年不再从部门预算中列支</w:t>
      </w:r>
      <w:r>
        <w:rPr>
          <w:rFonts w:hint="eastAsia" w:ascii="Arial" w:hAnsi="Arial" w:eastAsia="仿宋_GB2312" w:cs="Arial"/>
          <w:color w:val="000000"/>
          <w:sz w:val="32"/>
          <w:szCs w:val="32"/>
        </w:rPr>
        <w:t xml:space="preserve">。  </w:t>
      </w:r>
    </w:p>
    <w:p>
      <w:pPr>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二、收入预算总体情况说明</w:t>
      </w:r>
    </w:p>
    <w:p>
      <w:pPr>
        <w:widowControl/>
        <w:shd w:val="clear" w:color="auto" w:fill="FFFFFF"/>
        <w:spacing w:line="560" w:lineRule="atLeast"/>
        <w:ind w:firstLine="64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2018年收入合计</w:t>
      </w:r>
      <w:r>
        <w:rPr>
          <w:rFonts w:hint="eastAsia" w:ascii="Arial" w:hAnsi="Arial" w:eastAsia="仿宋_GB2312" w:cs="Arial"/>
          <w:color w:val="000000"/>
          <w:sz w:val="32"/>
          <w:szCs w:val="32"/>
        </w:rPr>
        <w:t>350.37</w:t>
      </w:r>
      <w:r>
        <w:rPr>
          <w:rFonts w:hint="eastAsia" w:ascii="仿宋_GB2312" w:hAnsi="仿宋_GB2312" w:eastAsia="仿宋_GB2312" w:cs="仿宋_GB2312"/>
          <w:color w:val="000000"/>
          <w:sz w:val="32"/>
          <w:szCs w:val="32"/>
        </w:rPr>
        <w:t>万元，其中：一般公共预算收入</w:t>
      </w:r>
      <w:r>
        <w:rPr>
          <w:rFonts w:hint="eastAsia" w:ascii="Arial" w:hAnsi="Arial" w:eastAsia="仿宋_GB2312" w:cs="Arial"/>
          <w:color w:val="000000"/>
          <w:sz w:val="32"/>
          <w:szCs w:val="32"/>
        </w:rPr>
        <w:t>350.37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val="en-US" w:eastAsia="zh-CN"/>
        </w:rPr>
        <w:t>;</w:t>
      </w:r>
      <w:bookmarkStart w:id="0" w:name="_GoBack"/>
      <w:bookmarkEnd w:id="0"/>
      <w:r>
        <w:rPr>
          <w:rFonts w:hint="eastAsia" w:ascii="仿宋" w:hAnsi="仿宋" w:eastAsia="仿宋" w:cs="仿宋"/>
          <w:color w:val="000000"/>
          <w:sz w:val="32"/>
          <w:szCs w:val="32"/>
        </w:rPr>
        <w:t>政府性基金预算收入0万元；国有资本经营预算收入0万元；其他收入0万元</w:t>
      </w:r>
      <w:r>
        <w:rPr>
          <w:rFonts w:hint="eastAsia" w:ascii="Arial" w:hAnsi="Arial" w:eastAsia="仿宋_GB2312" w:cs="Arial"/>
          <w:color w:val="000000"/>
          <w:sz w:val="32"/>
          <w:szCs w:val="32"/>
        </w:rPr>
        <w:t>。</w:t>
      </w:r>
      <w:r>
        <w:rPr>
          <w:rFonts w:hint="eastAsia" w:ascii="仿宋_GB2312" w:hAnsi="仿宋_GB2312" w:eastAsia="仿宋_GB2312" w:cs="仿宋_GB2312"/>
          <w:color w:val="000000"/>
          <w:sz w:val="32"/>
          <w:szCs w:val="32"/>
        </w:rPr>
        <w:t xml:space="preserve"> </w:t>
      </w:r>
    </w:p>
    <w:p>
      <w:pPr>
        <w:spacing w:line="560" w:lineRule="exact"/>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三、支出预算总体情况说明</w:t>
      </w:r>
    </w:p>
    <w:p>
      <w:pPr>
        <w:spacing w:line="560" w:lineRule="exact"/>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2018年支出合计</w:t>
      </w:r>
      <w:r>
        <w:rPr>
          <w:rFonts w:hint="eastAsia" w:ascii="Arial" w:hAnsi="Arial" w:eastAsia="仿宋_GB2312" w:cs="Arial"/>
          <w:color w:val="000000"/>
          <w:sz w:val="32"/>
          <w:szCs w:val="32"/>
        </w:rPr>
        <w:t>350.37</w:t>
      </w:r>
      <w:r>
        <w:rPr>
          <w:rFonts w:hint="eastAsia" w:ascii="仿宋_GB2312" w:hAnsi="仿宋_GB2312" w:eastAsia="仿宋_GB2312" w:cs="仿宋_GB2312"/>
          <w:color w:val="000000"/>
          <w:sz w:val="32"/>
          <w:szCs w:val="32"/>
        </w:rPr>
        <w:t>万元，其中：基本支出</w:t>
      </w:r>
      <w:r>
        <w:rPr>
          <w:rFonts w:hint="eastAsia" w:ascii="Arial" w:hAnsi="Arial" w:eastAsia="仿宋_GB2312" w:cs="Arial"/>
          <w:color w:val="000000"/>
          <w:sz w:val="32"/>
          <w:szCs w:val="32"/>
        </w:rPr>
        <w:t>64.13</w:t>
      </w:r>
      <w:r>
        <w:rPr>
          <w:rFonts w:hint="eastAsia" w:ascii="仿宋_GB2312" w:hAnsi="仿宋_GB2312" w:eastAsia="仿宋_GB2312" w:cs="仿宋_GB2312"/>
          <w:color w:val="000000"/>
          <w:sz w:val="32"/>
          <w:szCs w:val="32"/>
        </w:rPr>
        <w:t>万元，占</w:t>
      </w:r>
      <w:r>
        <w:rPr>
          <w:rFonts w:hint="eastAsia" w:ascii="Arial" w:hAnsi="Arial" w:eastAsia="仿宋_GB2312" w:cs="Arial"/>
          <w:color w:val="000000"/>
          <w:sz w:val="32"/>
          <w:szCs w:val="32"/>
        </w:rPr>
        <w:t>18.30%</w:t>
      </w:r>
      <w:r>
        <w:rPr>
          <w:rFonts w:hint="eastAsia" w:ascii="仿宋_GB2312" w:hAnsi="仿宋_GB2312" w:eastAsia="仿宋_GB2312" w:cs="仿宋_GB2312"/>
          <w:color w:val="000000"/>
          <w:sz w:val="32"/>
          <w:szCs w:val="32"/>
        </w:rPr>
        <w:t>；项目支出</w:t>
      </w:r>
      <w:r>
        <w:rPr>
          <w:rFonts w:hint="eastAsia" w:ascii="Arial" w:hAnsi="Arial" w:eastAsia="仿宋_GB2312" w:cs="Arial"/>
          <w:color w:val="000000"/>
          <w:sz w:val="32"/>
          <w:szCs w:val="32"/>
        </w:rPr>
        <w:t>286.24</w:t>
      </w:r>
      <w:r>
        <w:rPr>
          <w:rFonts w:hint="eastAsia" w:ascii="仿宋_GB2312" w:hAnsi="仿宋_GB2312" w:eastAsia="仿宋_GB2312" w:cs="仿宋_GB2312"/>
          <w:color w:val="000000"/>
          <w:sz w:val="32"/>
          <w:szCs w:val="32"/>
        </w:rPr>
        <w:t>万元，占</w:t>
      </w:r>
      <w:r>
        <w:rPr>
          <w:rFonts w:hint="eastAsia" w:ascii="Arial" w:hAnsi="Arial" w:eastAsia="仿宋_GB2312" w:cs="Arial"/>
          <w:color w:val="000000"/>
          <w:sz w:val="32"/>
          <w:szCs w:val="32"/>
        </w:rPr>
        <w:t>81.70</w:t>
      </w:r>
      <w:r>
        <w:rPr>
          <w:rFonts w:hint="eastAsia" w:ascii="仿宋_GB2312" w:hAnsi="仿宋_GB2312" w:eastAsia="仿宋_GB2312" w:cs="仿宋_GB2312"/>
          <w:color w:val="000000"/>
          <w:sz w:val="32"/>
          <w:szCs w:val="32"/>
        </w:rPr>
        <w:t xml:space="preserve">%。 </w:t>
      </w:r>
    </w:p>
    <w:p>
      <w:pPr>
        <w:spacing w:line="560" w:lineRule="exact"/>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四、财政拨款收入支出预算总体情况说明</w:t>
      </w:r>
    </w:p>
    <w:p>
      <w:pPr>
        <w:spacing w:line="560" w:lineRule="exact"/>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2018年一般公共预算收支预算</w:t>
      </w:r>
      <w:r>
        <w:rPr>
          <w:rFonts w:hint="eastAsia" w:ascii="Arial" w:hAnsi="Arial" w:eastAsia="仿宋_GB2312" w:cs="Arial"/>
          <w:color w:val="000000"/>
          <w:sz w:val="32"/>
          <w:szCs w:val="32"/>
        </w:rPr>
        <w:t>350.37</w:t>
      </w:r>
      <w:r>
        <w:rPr>
          <w:rFonts w:hint="eastAsia" w:ascii="仿宋_GB2312" w:hAnsi="仿宋_GB2312" w:eastAsia="仿宋_GB2312" w:cs="仿宋_GB2312"/>
          <w:color w:val="000000"/>
          <w:sz w:val="32"/>
          <w:szCs w:val="32"/>
        </w:rPr>
        <w:t>万元。</w:t>
      </w:r>
      <w:r>
        <w:rPr>
          <w:rFonts w:hint="eastAsia" w:ascii="仿宋" w:hAnsi="仿宋" w:eastAsia="仿宋" w:cs="仿宋"/>
          <w:color w:val="000000"/>
          <w:sz w:val="32"/>
          <w:szCs w:val="32"/>
        </w:rPr>
        <w:t>政府性基金收支预算0万元。</w:t>
      </w:r>
      <w:r>
        <w:rPr>
          <w:rFonts w:hint="eastAsia" w:ascii="仿宋_GB2312" w:hAnsi="仿宋_GB2312" w:eastAsia="仿宋_GB2312" w:cs="仿宋_GB2312"/>
          <w:color w:val="000000"/>
          <w:sz w:val="32"/>
          <w:szCs w:val="32"/>
        </w:rPr>
        <w:t>与 2017年相比，一般公共预算收支预算减少</w:t>
      </w:r>
      <w:r>
        <w:rPr>
          <w:rFonts w:hint="eastAsia" w:ascii="Arial" w:hAnsi="Arial" w:eastAsia="仿宋_GB2312" w:cs="Arial"/>
          <w:color w:val="000000"/>
          <w:sz w:val="32"/>
          <w:szCs w:val="32"/>
        </w:rPr>
        <w:t>186.49</w:t>
      </w:r>
      <w:r>
        <w:rPr>
          <w:rFonts w:hint="eastAsia" w:ascii="仿宋_GB2312" w:hAnsi="仿宋_GB2312" w:eastAsia="仿宋_GB2312" w:cs="仿宋_GB2312"/>
          <w:color w:val="000000"/>
          <w:sz w:val="32"/>
          <w:szCs w:val="32"/>
        </w:rPr>
        <w:t>万元，下降</w:t>
      </w:r>
      <w:r>
        <w:rPr>
          <w:rFonts w:hint="eastAsia" w:ascii="Arial" w:hAnsi="Arial" w:eastAsia="仿宋_GB2312" w:cs="Arial"/>
          <w:color w:val="000000"/>
          <w:sz w:val="32"/>
          <w:szCs w:val="32"/>
        </w:rPr>
        <w:t>34.74</w:t>
      </w:r>
      <w:r>
        <w:rPr>
          <w:rFonts w:hint="eastAsia" w:ascii="仿宋_GB2312" w:hAnsi="仿宋_GB2312" w:eastAsia="仿宋_GB2312" w:cs="仿宋_GB2312"/>
          <w:color w:val="000000"/>
          <w:sz w:val="32"/>
          <w:szCs w:val="32"/>
        </w:rPr>
        <w:t>%。主要原因：焦作科技大市场房屋租赁费用和蒙牛集群建设专项经费今年不再从部门预算中列支</w:t>
      </w:r>
      <w:r>
        <w:rPr>
          <w:rFonts w:hint="eastAsia" w:ascii="Arial" w:hAnsi="Arial" w:eastAsia="仿宋_GB2312" w:cs="Arial"/>
          <w:color w:val="000000"/>
          <w:sz w:val="32"/>
          <w:szCs w:val="32"/>
        </w:rPr>
        <w:t>。</w:t>
      </w:r>
      <w:r>
        <w:rPr>
          <w:rFonts w:hint="eastAsia" w:ascii="仿宋" w:hAnsi="仿宋" w:eastAsia="仿宋" w:cs="仿宋"/>
          <w:color w:val="000000"/>
          <w:sz w:val="32"/>
          <w:szCs w:val="32"/>
        </w:rPr>
        <w:t>无政府性基金预算。</w:t>
      </w:r>
    </w:p>
    <w:p>
      <w:pPr>
        <w:spacing w:line="560" w:lineRule="exact"/>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五、一般公共预算支出预算情况说明</w:t>
      </w:r>
    </w:p>
    <w:p>
      <w:pPr>
        <w:widowControl/>
        <w:ind w:firstLine="622"/>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发展改革规划局2018年一般公共预算支出年初预算为</w:t>
      </w:r>
      <w:r>
        <w:rPr>
          <w:rFonts w:hint="eastAsia" w:ascii="Arial" w:hAnsi="Arial" w:eastAsia="仿宋_GB2312" w:cs="Arial"/>
          <w:color w:val="000000"/>
          <w:sz w:val="32"/>
          <w:szCs w:val="32"/>
        </w:rPr>
        <w:t>350.37</w:t>
      </w:r>
      <w:r>
        <w:rPr>
          <w:rFonts w:hint="eastAsia" w:ascii="仿宋_GB2312" w:hAnsi="仿宋_GB2312" w:eastAsia="仿宋_GB2312" w:cs="仿宋_GB2312"/>
          <w:color w:val="000000"/>
          <w:sz w:val="32"/>
          <w:szCs w:val="32"/>
        </w:rPr>
        <w:t>万元。主要用于以下方面：</w:t>
      </w:r>
      <w:r>
        <w:rPr>
          <w:rFonts w:hint="eastAsia" w:ascii="仿宋_GB2312" w:hAnsi="仿宋_GB2312" w:eastAsia="仿宋_GB2312" w:cs="仿宋_GB2312"/>
          <w:color w:val="000000"/>
          <w:kern w:val="0"/>
          <w:sz w:val="32"/>
          <w:szCs w:val="32"/>
        </w:rPr>
        <w:t>一般公共服务支出</w:t>
      </w:r>
      <w:r>
        <w:rPr>
          <w:rFonts w:hint="eastAsia" w:ascii="Arial" w:hAnsi="Arial" w:eastAsia="仿宋_GB2312" w:cs="Arial"/>
          <w:color w:val="000000"/>
          <w:sz w:val="32"/>
          <w:szCs w:val="32"/>
        </w:rPr>
        <w:t>322.37</w:t>
      </w:r>
      <w:r>
        <w:rPr>
          <w:rFonts w:hint="eastAsia" w:ascii="仿宋_GB2312" w:hAnsi="仿宋_GB2312" w:eastAsia="仿宋_GB2312" w:cs="仿宋_GB2312"/>
          <w:color w:val="000000"/>
          <w:kern w:val="0"/>
          <w:sz w:val="32"/>
          <w:szCs w:val="32"/>
        </w:rPr>
        <w:t>万元，占92%；教育支出28万元，占8%。</w:t>
      </w:r>
    </w:p>
    <w:p>
      <w:pPr>
        <w:spacing w:line="560" w:lineRule="exact"/>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六、一般公共预算基本支出预算情况说明</w:t>
      </w:r>
    </w:p>
    <w:p>
      <w:pPr>
        <w:widowControl/>
        <w:ind w:firstLine="622"/>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2018年一般公共预算基本支出</w:t>
      </w:r>
      <w:r>
        <w:rPr>
          <w:rFonts w:hint="eastAsia" w:ascii="仿宋_GB2312" w:hAnsi="仿宋_GB2312" w:eastAsia="仿宋_GB2312" w:cs="仿宋_GB2312"/>
          <w:color w:val="000000"/>
          <w:kern w:val="0"/>
          <w:sz w:val="32"/>
          <w:szCs w:val="32"/>
        </w:rPr>
        <w:t>64.13</w:t>
      </w:r>
      <w:r>
        <w:rPr>
          <w:rFonts w:hint="eastAsia" w:ascii="仿宋_GB2312" w:hAnsi="仿宋_GB2312" w:eastAsia="仿宋_GB2312" w:cs="仿宋_GB2312"/>
          <w:color w:val="000000"/>
          <w:sz w:val="32"/>
          <w:szCs w:val="32"/>
        </w:rPr>
        <w:t>万元，其中：</w:t>
      </w:r>
      <w:r>
        <w:rPr>
          <w:rFonts w:hint="eastAsia" w:ascii="仿宋_GB2312" w:hAnsi="仿宋_GB2312" w:eastAsia="仿宋_GB2312" w:cs="仿宋_GB2312"/>
          <w:b/>
          <w:color w:val="000000"/>
          <w:spacing w:val="-1"/>
          <w:kern w:val="0"/>
          <w:sz w:val="32"/>
          <w:szCs w:val="32"/>
        </w:rPr>
        <w:t>人员经费</w:t>
      </w:r>
      <w:r>
        <w:rPr>
          <w:rFonts w:hint="eastAsia" w:ascii="仿宋_GB2312" w:hAnsi="仿宋_GB2312" w:eastAsia="仿宋_GB2312" w:cs="仿宋_GB2312"/>
          <w:b/>
          <w:color w:val="000000"/>
          <w:kern w:val="0"/>
          <w:sz w:val="32"/>
          <w:szCs w:val="32"/>
        </w:rPr>
        <w:t>57.79</w:t>
      </w:r>
      <w:r>
        <w:rPr>
          <w:rFonts w:hint="eastAsia" w:ascii="仿宋_GB2312" w:hAnsi="仿宋_GB2312" w:eastAsia="仿宋_GB2312" w:cs="仿宋_GB2312"/>
          <w:b/>
          <w:color w:val="000000"/>
          <w:sz w:val="32"/>
          <w:szCs w:val="32"/>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基本工资、津贴补贴、奖金、机关事业单位基本养老保险缴费、职业年金、医疗保险缴费、其他社会保障缴费、住房公积金；</w:t>
      </w:r>
      <w:r>
        <w:rPr>
          <w:rFonts w:hint="eastAsia" w:ascii="仿宋_GB2312" w:hAnsi="仿宋_GB2312" w:eastAsia="仿宋_GB2312" w:cs="仿宋_GB2312"/>
          <w:b/>
          <w:bCs/>
          <w:color w:val="000000"/>
          <w:kern w:val="0"/>
          <w:sz w:val="32"/>
          <w:szCs w:val="32"/>
        </w:rPr>
        <w:t>公用经费6.34万元</w:t>
      </w:r>
      <w:r>
        <w:rPr>
          <w:rFonts w:hint="eastAsia" w:ascii="仿宋_GB2312" w:hAnsi="仿宋_GB2312" w:eastAsia="仿宋_GB2312" w:cs="仿宋_GB2312"/>
          <w:color w:val="000000"/>
          <w:kern w:val="0"/>
          <w:sz w:val="32"/>
          <w:szCs w:val="32"/>
        </w:rPr>
        <w:t>，主要包括：办公费、印刷费、水费、邮电费、差旅费、公务接待费、福利费、其他交通费用、其他商品和服务支出。</w:t>
      </w:r>
    </w:p>
    <w:p>
      <w:pPr>
        <w:spacing w:line="560" w:lineRule="exact"/>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七、政府性基金预算支出预算情况说明</w:t>
      </w:r>
    </w:p>
    <w:p>
      <w:pPr>
        <w:spacing w:line="560" w:lineRule="exact"/>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我单位2018年没有使用政府性基金预算拨款安排的支出。</w:t>
      </w:r>
    </w:p>
    <w:p>
      <w:pPr>
        <w:spacing w:line="560" w:lineRule="exact"/>
        <w:ind w:firstLine="624"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八、</w:t>
      </w:r>
      <w:r>
        <w:rPr>
          <w:rFonts w:hint="eastAsia" w:ascii="仿宋_GB2312" w:hAnsi="仿宋_GB2312" w:eastAsia="仿宋_GB2312" w:cs="仿宋_GB2312"/>
          <w:color w:val="000000"/>
          <w:kern w:val="0"/>
          <w:sz w:val="32"/>
          <w:szCs w:val="32"/>
        </w:rPr>
        <w:t>国有资本经营预算支出预算情况说明</w:t>
      </w:r>
    </w:p>
    <w:p>
      <w:pPr>
        <w:spacing w:line="560" w:lineRule="exact"/>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我单位2018年没有使用国有资本经营预算拨款安排的支出。</w:t>
      </w:r>
    </w:p>
    <w:p>
      <w:pPr>
        <w:spacing w:line="560" w:lineRule="exact"/>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九、“三公”经费支出预算情况说明</w:t>
      </w:r>
    </w:p>
    <w:p>
      <w:pPr>
        <w:widowControl/>
        <w:ind w:firstLine="624"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2018 年“三公”经费预算为</w:t>
      </w:r>
      <w:r>
        <w:rPr>
          <w:rFonts w:hint="eastAsia" w:ascii="仿宋_GB2312" w:hAnsi="仿宋_GB2312" w:eastAsia="仿宋_GB2312" w:cs="仿宋_GB2312"/>
          <w:color w:val="000000"/>
          <w:kern w:val="0"/>
          <w:sz w:val="32"/>
          <w:szCs w:val="32"/>
        </w:rPr>
        <w:t>4.5</w:t>
      </w:r>
      <w:r>
        <w:rPr>
          <w:rFonts w:hint="eastAsia" w:ascii="仿宋_GB2312" w:hAnsi="仿宋_GB2312" w:eastAsia="仿宋_GB2312" w:cs="仿宋_GB2312"/>
          <w:color w:val="000000"/>
          <w:sz w:val="32"/>
          <w:szCs w:val="32"/>
        </w:rPr>
        <w:t>万元。 比 2017年预算数8万元相比，减少3.5万元，下降43.75</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sz w:val="32"/>
          <w:szCs w:val="32"/>
        </w:rPr>
        <w:t>。</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具体支出情况如下：</w:t>
      </w:r>
    </w:p>
    <w:p>
      <w:pPr>
        <w:numPr>
          <w:ilvl w:val="0"/>
          <w:numId w:val="3"/>
        </w:numPr>
        <w:kinsoku w:val="0"/>
        <w:overflowPunct w:val="0"/>
        <w:autoSpaceDE w:val="0"/>
        <w:autoSpaceDN w:val="0"/>
        <w:adjustRightInd w:val="0"/>
        <w:snapToGrid w:val="0"/>
        <w:spacing w:line="360" w:lineRule="auto"/>
        <w:ind w:firstLine="620" w:firstLineChars="200"/>
        <w:rPr>
          <w:rFonts w:ascii="仿宋_GB2312" w:hAnsi="仿宋_GB2312" w:eastAsia="仿宋_GB2312" w:cs="仿宋_GB2312"/>
          <w:color w:val="000000"/>
          <w:sz w:val="32"/>
          <w:szCs w:val="32"/>
        </w:rPr>
      </w:pPr>
      <w:r>
        <w:rPr>
          <w:rFonts w:hint="eastAsia" w:ascii="仿宋_GB2312" w:hAnsi="仿宋_GB2312" w:eastAsia="仿宋_GB2312" w:cs="仿宋_GB2312"/>
          <w:b/>
          <w:color w:val="000000"/>
          <w:spacing w:val="-1"/>
          <w:kern w:val="0"/>
          <w:sz w:val="32"/>
          <w:szCs w:val="32"/>
        </w:rPr>
        <w:t>因公出国（境）费</w:t>
      </w:r>
      <w:r>
        <w:rPr>
          <w:rFonts w:hint="eastAsia" w:ascii="仿宋_GB2312" w:hAnsi="仿宋_GB2312" w:eastAsia="仿宋_GB2312" w:cs="仿宋_GB2312"/>
          <w:color w:val="000000"/>
          <w:sz w:val="32"/>
          <w:szCs w:val="32"/>
        </w:rPr>
        <w:t>0万元。主要用于公务出国（境）业务的开支，预算数比2017年减少3万元，下降100</w:t>
      </w:r>
      <w:r>
        <w:rPr>
          <w:rFonts w:hint="eastAsia" w:ascii="仿宋_GB2312" w:hAnsi="仿宋_GB2312" w:eastAsia="仿宋_GB2312" w:cs="仿宋_GB2312"/>
          <w:color w:val="000000"/>
          <w:kern w:val="0"/>
          <w:sz w:val="32"/>
          <w:szCs w:val="32"/>
        </w:rPr>
        <w:t>%，主要原因：没有出行计划</w:t>
      </w:r>
      <w:r>
        <w:rPr>
          <w:rFonts w:hint="eastAsia" w:ascii="仿宋_GB2312" w:hAnsi="仿宋_GB2312" w:eastAsia="仿宋_GB2312" w:cs="仿宋_GB2312"/>
          <w:color w:val="000000"/>
          <w:sz w:val="32"/>
          <w:szCs w:val="32"/>
        </w:rPr>
        <w:t>。</w:t>
      </w:r>
    </w:p>
    <w:p>
      <w:pPr>
        <w:numPr>
          <w:ilvl w:val="0"/>
          <w:numId w:val="3"/>
        </w:numPr>
        <w:kinsoku w:val="0"/>
        <w:overflowPunct w:val="0"/>
        <w:autoSpaceDE w:val="0"/>
        <w:autoSpaceDN w:val="0"/>
        <w:adjustRightInd w:val="0"/>
        <w:snapToGrid w:val="0"/>
        <w:spacing w:line="360" w:lineRule="auto"/>
        <w:ind w:firstLine="620" w:firstLineChars="200"/>
        <w:rPr>
          <w:rFonts w:ascii="仿宋_GB2312" w:hAnsi="仿宋_GB2312" w:eastAsia="仿宋_GB2312" w:cs="仿宋_GB2312"/>
          <w:color w:val="000000"/>
          <w:sz w:val="32"/>
          <w:szCs w:val="32"/>
        </w:rPr>
      </w:pPr>
      <w:r>
        <w:rPr>
          <w:rFonts w:hint="eastAsia" w:ascii="仿宋_GB2312" w:hAnsi="仿宋_GB2312" w:eastAsia="仿宋_GB2312" w:cs="仿宋_GB2312"/>
          <w:b/>
          <w:color w:val="000000"/>
          <w:spacing w:val="-1"/>
          <w:kern w:val="0"/>
          <w:sz w:val="32"/>
          <w:szCs w:val="32"/>
        </w:rPr>
        <w:t>公务用车购置及运行费</w:t>
      </w:r>
      <w:r>
        <w:rPr>
          <w:rFonts w:hint="eastAsia" w:ascii="仿宋_GB2312" w:hAnsi="仿宋_GB2312" w:eastAsia="仿宋_GB2312" w:cs="仿宋_GB2312"/>
          <w:color w:val="000000"/>
          <w:kern w:val="0"/>
          <w:sz w:val="32"/>
          <w:szCs w:val="32"/>
        </w:rPr>
        <w:t>0万</w:t>
      </w:r>
      <w:r>
        <w:rPr>
          <w:rFonts w:hint="eastAsia" w:ascii="仿宋_GB2312" w:hAnsi="仿宋_GB2312" w:eastAsia="仿宋_GB2312" w:cs="仿宋_GB2312"/>
          <w:color w:val="000000"/>
          <w:sz w:val="32"/>
          <w:szCs w:val="32"/>
        </w:rPr>
        <w:t>元。主要用于车辆购置和加油、修理费用的支出，</w:t>
      </w:r>
      <w:r>
        <w:rPr>
          <w:rFonts w:hint="eastAsia" w:ascii="仿宋" w:hAnsi="仿宋" w:eastAsia="仿宋" w:cs="仿宋"/>
          <w:color w:val="000000"/>
          <w:sz w:val="32"/>
          <w:szCs w:val="32"/>
        </w:rPr>
        <w:t>与2017年持平</w:t>
      </w:r>
      <w:r>
        <w:rPr>
          <w:rFonts w:hint="eastAsia" w:ascii="仿宋_GB2312" w:hAnsi="仿宋_GB2312" w:eastAsia="仿宋_GB2312" w:cs="仿宋_GB2312"/>
          <w:color w:val="000000"/>
          <w:sz w:val="32"/>
          <w:szCs w:val="32"/>
        </w:rPr>
        <w:t>。</w:t>
      </w:r>
    </w:p>
    <w:p>
      <w:pPr>
        <w:pStyle w:val="2"/>
        <w:widowControl/>
        <w:spacing w:line="360" w:lineRule="atLeast"/>
        <w:ind w:firstLine="620" w:firstLineChars="200"/>
        <w:rPr>
          <w:rFonts w:ascii="仿宋_GB2312" w:hAnsi="仿宋_GB2312" w:eastAsia="仿宋_GB2312" w:cs="仿宋_GB2312"/>
          <w:color w:val="000000"/>
          <w:sz w:val="32"/>
          <w:szCs w:val="32"/>
        </w:rPr>
      </w:pPr>
      <w:r>
        <w:rPr>
          <w:rFonts w:hint="eastAsia" w:ascii="仿宋_GB2312" w:hAnsi="仿宋_GB2312" w:eastAsia="仿宋_GB2312" w:cs="仿宋_GB2312"/>
          <w:b/>
          <w:color w:val="000000"/>
          <w:spacing w:val="-1"/>
          <w:sz w:val="32"/>
          <w:szCs w:val="32"/>
        </w:rPr>
        <w:t>（三）公务接待费</w:t>
      </w:r>
      <w:r>
        <w:rPr>
          <w:rFonts w:hint="eastAsia" w:ascii="仿宋_GB2312" w:hAnsi="仿宋_GB2312" w:eastAsia="仿宋_GB2312" w:cs="仿宋_GB2312"/>
          <w:color w:val="000000"/>
          <w:sz w:val="32"/>
          <w:szCs w:val="32"/>
        </w:rPr>
        <w:t>4.5万元，</w:t>
      </w:r>
      <w:r>
        <w:rPr>
          <w:rFonts w:hint="eastAsia" w:ascii="仿宋_GB2312" w:hAnsi="仿宋_GB2312" w:eastAsia="仿宋_GB2312" w:cs="仿宋_GB2312"/>
          <w:color w:val="000000"/>
          <w:kern w:val="2"/>
          <w:sz w:val="32"/>
          <w:szCs w:val="32"/>
        </w:rPr>
        <w:t>主要用于按规定开支的接待外宾、其他部门等各类公务接待支出和日常加班支出，比2017年预算数减少0.5万元，下降10%，主要原因：</w:t>
      </w:r>
      <w:r>
        <w:rPr>
          <w:rFonts w:hint="eastAsia" w:ascii="仿宋_GB2312" w:hAnsi="仿宋_GB2312" w:eastAsia="仿宋_GB2312" w:cs="仿宋_GB2312"/>
          <w:color w:val="000000"/>
          <w:sz w:val="32"/>
          <w:szCs w:val="32"/>
          <w:shd w:val="clear" w:color="080000" w:fill="FFFFFF"/>
        </w:rPr>
        <w:t>深入贯彻中央“八项规定”精神等工作要求，大力压缩</w:t>
      </w:r>
      <w:r>
        <w:rPr>
          <w:rFonts w:hint="eastAsia" w:ascii="仿宋" w:hAnsi="仿宋" w:eastAsia="仿宋" w:cs="仿宋"/>
          <w:color w:val="000000"/>
          <w:sz w:val="32"/>
          <w:szCs w:val="32"/>
        </w:rPr>
        <w:t>“三公”经费</w:t>
      </w:r>
      <w:r>
        <w:rPr>
          <w:rFonts w:hint="eastAsia" w:ascii="仿宋_GB2312" w:hAnsi="仿宋_GB2312" w:eastAsia="仿宋_GB2312" w:cs="仿宋_GB2312"/>
          <w:color w:val="000000"/>
          <w:kern w:val="2"/>
          <w:sz w:val="32"/>
          <w:szCs w:val="32"/>
        </w:rPr>
        <w:t>。</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 xml:space="preserve"> </w:t>
      </w:r>
      <w:r>
        <w:rPr>
          <w:rFonts w:hint="eastAsia" w:ascii="仿宋_GB2312" w:hAnsi="仿宋_GB2312" w:eastAsia="仿宋_GB2312" w:cs="仿宋_GB2312"/>
          <w:color w:val="000000"/>
          <w:spacing w:val="-1"/>
          <w:kern w:val="0"/>
          <w:sz w:val="32"/>
          <w:szCs w:val="32"/>
        </w:rPr>
        <w:t>十、其他重要事项的情况说明</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b/>
          <w:color w:val="000000"/>
          <w:kern w:val="0"/>
          <w:sz w:val="32"/>
          <w:szCs w:val="32"/>
        </w:rPr>
        <w:t>（一）机关运行经费支出情况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发展改革规划局2018年机关运行经费支出预算</w:t>
      </w:r>
      <w:r>
        <w:rPr>
          <w:rFonts w:hint="eastAsia" w:ascii="仿宋_GB2312" w:hAnsi="仿宋_GB2312" w:eastAsia="仿宋_GB2312" w:cs="仿宋_GB2312"/>
          <w:color w:val="000000"/>
          <w:kern w:val="0"/>
          <w:sz w:val="32"/>
          <w:szCs w:val="32"/>
        </w:rPr>
        <w:t>6.34</w:t>
      </w:r>
      <w:r>
        <w:rPr>
          <w:rFonts w:hint="eastAsia" w:ascii="仿宋_GB2312" w:hAnsi="仿宋_GB2312" w:eastAsia="仿宋_GB2312" w:cs="仿宋_GB2312"/>
          <w:color w:val="000000"/>
          <w:sz w:val="32"/>
          <w:szCs w:val="32"/>
        </w:rPr>
        <w:t>万元，主要保障机关机构正常运转及正常履职需要的办公费、水电费、物业费、维修费、差旅费等支出，比2017年相比，增加0.06</w:t>
      </w:r>
      <w:r>
        <w:rPr>
          <w:rFonts w:hint="eastAsia" w:ascii="仿宋_GB2312" w:hAnsi="仿宋_GB2312" w:eastAsia="仿宋_GB2312" w:cs="仿宋_GB2312"/>
          <w:color w:val="000000"/>
          <w:kern w:val="0"/>
          <w:sz w:val="32"/>
          <w:szCs w:val="32"/>
        </w:rPr>
        <w:t>万元，增长0.96%，主要原因：人员日常办公经费增加</w:t>
      </w:r>
      <w:r>
        <w:rPr>
          <w:rFonts w:hint="eastAsia" w:ascii="仿宋_GB2312" w:hAnsi="仿宋_GB2312" w:eastAsia="仿宋_GB2312" w:cs="仿宋_GB2312"/>
          <w:color w:val="000000"/>
          <w:sz w:val="32"/>
          <w:szCs w:val="32"/>
        </w:rPr>
        <w:t>。</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2018年政府采购预算安排</w:t>
      </w:r>
      <w:r>
        <w:rPr>
          <w:rFonts w:hint="eastAsia" w:ascii="仿宋_GB2312" w:hAnsi="仿宋_GB2312" w:eastAsia="仿宋_GB2312" w:cs="仿宋_GB2312"/>
          <w:color w:val="000000"/>
          <w:kern w:val="0"/>
          <w:sz w:val="32"/>
          <w:szCs w:val="32"/>
        </w:rPr>
        <w:t>11</w:t>
      </w:r>
      <w:r>
        <w:rPr>
          <w:rFonts w:hint="eastAsia" w:ascii="仿宋_GB2312" w:hAnsi="仿宋_GB2312" w:eastAsia="仿宋_GB2312" w:cs="仿宋_GB2312"/>
          <w:color w:val="000000"/>
          <w:sz w:val="32"/>
          <w:szCs w:val="32"/>
        </w:rPr>
        <w:t>万元，其中：</w:t>
      </w:r>
      <w:r>
        <w:rPr>
          <w:rFonts w:hint="eastAsia" w:ascii="仿宋_GB2312" w:hAnsi="仿宋_GB2312" w:eastAsia="仿宋_GB2312" w:cs="仿宋_GB2312"/>
          <w:color w:val="000000"/>
          <w:kern w:val="0"/>
          <w:sz w:val="32"/>
          <w:szCs w:val="32"/>
        </w:rPr>
        <w:t>政府采购货物预算3万元、政府采购服务预算8万元。</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（三）关于预算绩效管理工作开展情况说明</w:t>
      </w:r>
    </w:p>
    <w:p>
      <w:pPr>
        <w:ind w:firstLine="612" w:firstLineChars="196"/>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auto"/>
          <w:sz w:val="32"/>
          <w:szCs w:val="32"/>
        </w:rPr>
        <w:t>2017年，我部门对</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个项目进行了预算绩效评价，涉及资金</w:t>
      </w:r>
      <w:r>
        <w:rPr>
          <w:rFonts w:hint="eastAsia" w:ascii="仿宋_GB2312" w:hAnsi="仿宋_GB2312" w:eastAsia="仿宋_GB2312" w:cs="仿宋_GB2312"/>
          <w:color w:val="auto"/>
          <w:sz w:val="32"/>
          <w:szCs w:val="32"/>
          <w:lang w:val="en-US" w:eastAsia="zh-CN"/>
        </w:rPr>
        <w:t>200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000000"/>
          <w:sz w:val="32"/>
          <w:szCs w:val="32"/>
        </w:rPr>
        <w:t>2018年，我部门纳入预算绩效管理的支出总额为350.37万元，其中人员经费支出57.79万元，公用经费支出6.34万元，支出项目共17个，支出总额286.24万元，其中预算支出100万元及100万元以上项目0个，支出总额0万元。</w:t>
      </w:r>
    </w:p>
    <w:p>
      <w:pPr>
        <w:ind w:left="404" w:left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（四）国有资产占用情况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2017年期末，固定资产总额84.98万元，</w:t>
      </w:r>
      <w:r>
        <w:rPr>
          <w:rFonts w:hint="eastAsia" w:ascii="仿宋" w:hAnsi="仿宋" w:eastAsia="仿宋" w:cs="仿宋"/>
          <w:color w:val="000000"/>
          <w:kern w:val="0"/>
          <w:sz w:val="32"/>
          <w:szCs w:val="32"/>
        </w:rPr>
        <w:t>无房屋建筑物，</w:t>
      </w:r>
      <w:r>
        <w:rPr>
          <w:rFonts w:hint="eastAsia" w:ascii="仿宋_GB2312" w:hAnsi="仿宋_GB2312" w:eastAsia="仿宋_GB2312" w:cs="仿宋_GB2312"/>
          <w:color w:val="000000"/>
          <w:kern w:val="0"/>
          <w:sz w:val="32"/>
          <w:szCs w:val="32"/>
        </w:rPr>
        <w:t>车辆3辆，价值35.03万元。</w:t>
      </w:r>
      <w:r>
        <w:rPr>
          <w:rFonts w:hint="eastAsia" w:ascii="仿宋" w:hAnsi="仿宋" w:eastAsia="仿宋" w:cs="仿宋"/>
          <w:color w:val="000000"/>
          <w:kern w:val="0"/>
          <w:sz w:val="32"/>
          <w:szCs w:val="32"/>
        </w:rPr>
        <w:t>无单价50万元以上通用设备及单价100万元以上专用设备。</w:t>
      </w:r>
    </w:p>
    <w:p>
      <w:pPr>
        <w:widowControl/>
        <w:ind w:firstLine="624" w:firstLineChars="200"/>
        <w:jc w:val="left"/>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（五）关于预算部门构成说明</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2018年我单位按照市财政预算公开要求，将所属预算单位全部纳入预算公开范围。</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p>
    <w:p>
      <w:pPr>
        <w:adjustRightInd w:val="0"/>
        <w:snapToGrid w:val="0"/>
        <w:spacing w:line="360" w:lineRule="auto"/>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br w:type="page"/>
      </w:r>
    </w:p>
    <w:p>
      <w:pPr>
        <w:adjustRightInd w:val="0"/>
        <w:snapToGrid w:val="0"/>
        <w:spacing w:line="360" w:lineRule="auto"/>
        <w:jc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第三部分 名词解释</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一、财政拨款收入：是指市级财政当年拨付的资金。</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宋体" w:eastAsia="仿宋_GB2312" w:cs="Courier New"/>
          <w:color w:val="000000"/>
          <w:sz w:val="32"/>
          <w:szCs w:val="32"/>
        </w:rPr>
        <w:t>七、机关运行经费：是指为保障行政</w:t>
      </w:r>
      <w:r>
        <w:rPr>
          <w:rFonts w:hint="eastAsia" w:ascii="仿宋_GB2312" w:hAnsi="仿宋_GB2312" w:eastAsia="仿宋_GB2312" w:cs="仿宋_GB2312"/>
          <w:color w:val="000000"/>
          <w:sz w:val="32"/>
          <w:szCs w:val="32"/>
        </w:rPr>
        <w:t>机构正常运转及正常履职需要的办公费、水电费、日常维修、物业费、维修费、差旅费、</w:t>
      </w:r>
      <w:r>
        <w:rPr>
          <w:rFonts w:hint="eastAsia" w:ascii="仿宋_GB2312" w:hAnsi="宋体" w:eastAsia="仿宋_GB2312" w:cs="Courier New"/>
          <w:color w:val="000000"/>
          <w:sz w:val="32"/>
          <w:szCs w:val="32"/>
        </w:rPr>
        <w:t>公务用车运行维护费以及其他费用</w:t>
      </w:r>
      <w:r>
        <w:rPr>
          <w:rFonts w:hint="eastAsia" w:ascii="仿宋_GB2312" w:hAnsi="仿宋_GB2312" w:eastAsia="仿宋_GB2312" w:cs="仿宋_GB2312"/>
          <w:color w:val="000000"/>
          <w:sz w:val="32"/>
          <w:szCs w:val="32"/>
        </w:rPr>
        <w:t>等支出。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pPr>
        <w:adjustRightInd w:val="0"/>
        <w:snapToGrid w:val="0"/>
        <w:spacing w:line="360" w:lineRule="auto"/>
        <w:ind w:firstLine="624"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附件：发展改革规划局2018年度部门预算表</w:t>
      </w:r>
    </w:p>
    <w:p>
      <w:pPr>
        <w:adjustRightInd w:val="0"/>
        <w:snapToGrid w:val="0"/>
        <w:spacing w:line="360" w:lineRule="auto"/>
        <w:ind w:firstLine="624" w:firstLineChars="200"/>
        <w:rPr>
          <w:rFonts w:ascii="仿宋_GB2312" w:hAnsi="仿宋_GB2312" w:eastAsia="仿宋_GB2312" w:cs="仿宋_GB2312"/>
          <w:color w:val="000000"/>
          <w:sz w:val="32"/>
          <w:szCs w:val="32"/>
        </w:rPr>
      </w:pPr>
    </w:p>
    <w:p>
      <w:pPr>
        <w:adjustRightInd w:val="0"/>
        <w:snapToGrid w:val="0"/>
        <w:spacing w:line="360" w:lineRule="auto"/>
        <w:ind w:firstLine="624" w:firstLineChars="200"/>
        <w:rPr>
          <w:rFonts w:ascii="仿宋_GB2312" w:hAnsi="仿宋_GB2312" w:eastAsia="仿宋_GB2312" w:cs="仿宋_GB2312"/>
          <w:color w:val="000000"/>
        </w:rPr>
      </w:pPr>
      <w:r>
        <w:rPr>
          <w:rFonts w:hint="eastAsia" w:ascii="仿宋_GB2312" w:hAnsi="仿宋_GB2312" w:eastAsia="仿宋_GB2312" w:cs="仿宋_GB2312"/>
          <w:color w:val="000000"/>
          <w:sz w:val="32"/>
          <w:szCs w:val="32"/>
        </w:rPr>
        <w:t xml:space="preserve">                           2018年10月9日</w:t>
      </w:r>
    </w:p>
    <w:sectPr>
      <w:pgSz w:w="11906" w:h="16838"/>
      <w:pgMar w:top="2154" w:right="1474" w:bottom="1757" w:left="1587" w:header="851" w:footer="992" w:gutter="0"/>
      <w:cols w:space="720" w:num="1"/>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F2DAA"/>
    <w:multiLevelType w:val="singleLevel"/>
    <w:tmpl w:val="5A4F2DAA"/>
    <w:lvl w:ilvl="0" w:tentative="0">
      <w:start w:val="1"/>
      <w:numFmt w:val="chineseCounting"/>
      <w:suff w:val="nothing"/>
      <w:lvlText w:val="（%1）"/>
      <w:lvlJc w:val="left"/>
    </w:lvl>
  </w:abstractNum>
  <w:abstractNum w:abstractNumId="1">
    <w:nsid w:val="5A796DEC"/>
    <w:multiLevelType w:val="singleLevel"/>
    <w:tmpl w:val="5A796DEC"/>
    <w:lvl w:ilvl="0" w:tentative="0">
      <w:start w:val="1"/>
      <w:numFmt w:val="chineseCounting"/>
      <w:suff w:val="nothing"/>
      <w:lvlText w:val="%1、"/>
      <w:lvlJc w:val="left"/>
    </w:lvl>
  </w:abstractNum>
  <w:abstractNum w:abstractNumId="2">
    <w:nsid w:val="5BBB12A5"/>
    <w:multiLevelType w:val="singleLevel"/>
    <w:tmpl w:val="5BBB12A5"/>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0963B30"/>
    <w:rsid w:val="5F06777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qFormat/>
    <w:uiPriority w:val="0"/>
    <w:pPr>
      <w:jc w:val="left"/>
    </w:pPr>
    <w:rPr>
      <w:kern w:val="0"/>
      <w:sz w:val="24"/>
    </w:rPr>
  </w:style>
  <w:style w:type="character" w:styleId="5">
    <w:name w:val="FollowedHyperlink"/>
    <w:qFormat/>
    <w:uiPriority w:val="0"/>
    <w:rPr>
      <w:color w:val="333333"/>
      <w:u w:val="none"/>
    </w:rPr>
  </w:style>
  <w:style w:type="character" w:styleId="6">
    <w:name w:val="Emphasis"/>
    <w:basedOn w:val="4"/>
    <w:qFormat/>
    <w:uiPriority w:val="0"/>
  </w:style>
  <w:style w:type="character" w:styleId="7">
    <w:name w:val="Hyperlink"/>
    <w:qFormat/>
    <w:uiPriority w:val="0"/>
    <w:rPr>
      <w:color w:val="333333"/>
      <w:u w:val="none"/>
    </w:rPr>
  </w:style>
  <w:style w:type="character" w:customStyle="1" w:styleId="8">
    <w:name w:val="lt"/>
    <w:basedOn w:val="4"/>
    <w:qFormat/>
    <w:uiPriority w:val="0"/>
  </w:style>
  <w:style w:type="character" w:customStyle="1" w:styleId="9">
    <w:name w:val="lt1"/>
    <w:basedOn w:val="4"/>
    <w:qFormat/>
    <w:uiPriority w:val="0"/>
  </w:style>
  <w:style w:type="character" w:customStyle="1" w:styleId="10">
    <w:name w:val="lt2"/>
    <w:basedOn w:val="4"/>
    <w:qFormat/>
    <w:uiPriority w:val="0"/>
  </w:style>
  <w:style w:type="character" w:customStyle="1" w:styleId="11">
    <w:name w:val="lt3"/>
    <w:basedOn w:val="4"/>
    <w:qFormat/>
    <w:uiPriority w:val="0"/>
  </w:style>
  <w:style w:type="character" w:customStyle="1" w:styleId="12">
    <w:name w:val="lt4"/>
    <w:basedOn w:val="4"/>
    <w:qFormat/>
    <w:uiPriority w:val="0"/>
  </w:style>
  <w:style w:type="character" w:customStyle="1" w:styleId="13">
    <w:name w:val="lt5"/>
    <w:basedOn w:val="4"/>
    <w:qFormat/>
    <w:uiPriority w:val="0"/>
  </w:style>
  <w:style w:type="character" w:customStyle="1" w:styleId="14">
    <w:name w:val="lt6"/>
    <w:basedOn w:val="4"/>
    <w:qFormat/>
    <w:uiPriority w:val="0"/>
  </w:style>
  <w:style w:type="character" w:customStyle="1" w:styleId="15">
    <w:name w:val="lt7"/>
    <w:basedOn w:val="4"/>
    <w:qFormat/>
    <w:uiPriority w:val="0"/>
  </w:style>
  <w:style w:type="character" w:customStyle="1" w:styleId="16">
    <w:name w:val="lt8"/>
    <w:basedOn w:val="4"/>
    <w:qFormat/>
    <w:uiPriority w:val="0"/>
  </w:style>
  <w:style w:type="character" w:customStyle="1" w:styleId="17">
    <w:name w:val="lt9"/>
    <w:basedOn w:val="4"/>
    <w:qFormat/>
    <w:uiPriority w:val="0"/>
  </w:style>
  <w:style w:type="character" w:customStyle="1" w:styleId="18">
    <w:name w:val="lt10"/>
    <w:basedOn w:val="4"/>
    <w:qFormat/>
    <w:uiPriority w:val="0"/>
  </w:style>
  <w:style w:type="character" w:customStyle="1" w:styleId="19">
    <w:name w:val="lt11"/>
    <w:basedOn w:val="4"/>
    <w:qFormat/>
    <w:uiPriority w:val="0"/>
  </w:style>
  <w:style w:type="character" w:customStyle="1" w:styleId="20">
    <w:name w:val="current"/>
    <w:qFormat/>
    <w:uiPriority w:val="0"/>
    <w:rPr>
      <w:color w:val="666666"/>
    </w:rPr>
  </w:style>
  <w:style w:type="character" w:customStyle="1" w:styleId="21">
    <w:name w:val="cm"/>
    <w:basedOn w:val="4"/>
    <w:qFormat/>
    <w:uiPriority w:val="0"/>
  </w:style>
  <w:style w:type="character" w:customStyle="1" w:styleId="22">
    <w:name w:val="cm1"/>
    <w:basedOn w:val="4"/>
    <w:qFormat/>
    <w:uiPriority w:val="0"/>
  </w:style>
  <w:style w:type="character" w:customStyle="1" w:styleId="23">
    <w:name w:val="cm2"/>
    <w:basedOn w:val="4"/>
    <w:qFormat/>
    <w:uiPriority w:val="0"/>
  </w:style>
  <w:style w:type="character" w:customStyle="1" w:styleId="24">
    <w:name w:val="cm3"/>
    <w:basedOn w:val="4"/>
    <w:qFormat/>
    <w:uiPriority w:val="0"/>
  </w:style>
  <w:style w:type="character" w:customStyle="1" w:styleId="25">
    <w:name w:val="cm4"/>
    <w:basedOn w:val="4"/>
    <w:qFormat/>
    <w:uiPriority w:val="0"/>
  </w:style>
  <w:style w:type="character" w:customStyle="1" w:styleId="26">
    <w:name w:val="cm5"/>
    <w:basedOn w:val="4"/>
    <w:qFormat/>
    <w:uiPriority w:val="0"/>
  </w:style>
  <w:style w:type="character" w:customStyle="1" w:styleId="27">
    <w:name w:val="cm6"/>
    <w:basedOn w:val="4"/>
    <w:qFormat/>
    <w:uiPriority w:val="0"/>
  </w:style>
  <w:style w:type="character" w:customStyle="1" w:styleId="28">
    <w:name w:val="cm7"/>
    <w:basedOn w:val="4"/>
    <w:qFormat/>
    <w:uiPriority w:val="0"/>
  </w:style>
  <w:style w:type="character" w:customStyle="1" w:styleId="29">
    <w:name w:val="cm8"/>
    <w:basedOn w:val="4"/>
    <w:qFormat/>
    <w:uiPriority w:val="0"/>
  </w:style>
  <w:style w:type="character" w:customStyle="1" w:styleId="30">
    <w:name w:val="cm9"/>
    <w:basedOn w:val="4"/>
    <w:qFormat/>
    <w:uiPriority w:val="0"/>
  </w:style>
  <w:style w:type="character" w:customStyle="1" w:styleId="31">
    <w:name w:val="cm10"/>
    <w:basedOn w:val="4"/>
    <w:qFormat/>
    <w:uiPriority w:val="0"/>
  </w:style>
  <w:style w:type="character" w:customStyle="1" w:styleId="32">
    <w:name w:val="cm11"/>
    <w:basedOn w:val="4"/>
    <w:qFormat/>
    <w:uiPriority w:val="0"/>
  </w:style>
  <w:style w:type="character" w:customStyle="1" w:styleId="33">
    <w:name w:val="cm12"/>
    <w:basedOn w:val="4"/>
    <w:qFormat/>
    <w:uiPriority w:val="0"/>
  </w:style>
  <w:style w:type="character" w:customStyle="1" w:styleId="34">
    <w:name w:val="cm13"/>
    <w:basedOn w:val="4"/>
    <w:qFormat/>
    <w:uiPriority w:val="0"/>
  </w:style>
  <w:style w:type="character" w:customStyle="1" w:styleId="35">
    <w:name w:val="lb"/>
    <w:basedOn w:val="4"/>
    <w:qFormat/>
    <w:uiPriority w:val="0"/>
  </w:style>
  <w:style w:type="character" w:customStyle="1" w:styleId="36">
    <w:name w:val="lb1"/>
    <w:basedOn w:val="4"/>
    <w:qFormat/>
    <w:uiPriority w:val="0"/>
  </w:style>
  <w:style w:type="character" w:customStyle="1" w:styleId="37">
    <w:name w:val="lb2"/>
    <w:basedOn w:val="4"/>
    <w:qFormat/>
    <w:uiPriority w:val="0"/>
  </w:style>
  <w:style w:type="character" w:customStyle="1" w:styleId="38">
    <w:name w:val="lb3"/>
    <w:basedOn w:val="4"/>
    <w:qFormat/>
    <w:uiPriority w:val="0"/>
  </w:style>
  <w:style w:type="character" w:customStyle="1" w:styleId="39">
    <w:name w:val="lb4"/>
    <w:basedOn w:val="4"/>
    <w:qFormat/>
    <w:uiPriority w:val="0"/>
  </w:style>
  <w:style w:type="character" w:customStyle="1" w:styleId="40">
    <w:name w:val="lb5"/>
    <w:basedOn w:val="4"/>
    <w:qFormat/>
    <w:uiPriority w:val="0"/>
  </w:style>
  <w:style w:type="character" w:customStyle="1" w:styleId="41">
    <w:name w:val="lb6"/>
    <w:basedOn w:val="4"/>
    <w:qFormat/>
    <w:uiPriority w:val="0"/>
  </w:style>
  <w:style w:type="character" w:customStyle="1" w:styleId="42">
    <w:name w:val="lb7"/>
    <w:basedOn w:val="4"/>
    <w:qFormat/>
    <w:uiPriority w:val="0"/>
  </w:style>
  <w:style w:type="character" w:customStyle="1" w:styleId="43">
    <w:name w:val="lb8"/>
    <w:basedOn w:val="4"/>
    <w:qFormat/>
    <w:uiPriority w:val="0"/>
  </w:style>
  <w:style w:type="character" w:customStyle="1" w:styleId="44">
    <w:name w:val="lb9"/>
    <w:basedOn w:val="4"/>
    <w:qFormat/>
    <w:uiPriority w:val="0"/>
  </w:style>
  <w:style w:type="character" w:customStyle="1" w:styleId="45">
    <w:name w:val="lb10"/>
    <w:basedOn w:val="4"/>
    <w:qFormat/>
    <w:uiPriority w:val="0"/>
  </w:style>
  <w:style w:type="character" w:customStyle="1" w:styleId="46">
    <w:name w:val="lb11"/>
    <w:basedOn w:val="4"/>
    <w:qFormat/>
    <w:uiPriority w:val="0"/>
  </w:style>
  <w:style w:type="character" w:customStyle="1" w:styleId="47">
    <w:name w:val="lb12"/>
    <w:basedOn w:val="4"/>
    <w:qFormat/>
    <w:uiPriority w:val="0"/>
  </w:style>
  <w:style w:type="character" w:customStyle="1" w:styleId="48">
    <w:name w:val="lb13"/>
    <w:basedOn w:val="4"/>
    <w:qFormat/>
    <w:uiPriority w:val="0"/>
  </w:style>
  <w:style w:type="character" w:customStyle="1" w:styleId="49">
    <w:name w:val="lb14"/>
    <w:basedOn w:val="4"/>
    <w:qFormat/>
    <w:uiPriority w:val="0"/>
  </w:style>
  <w:style w:type="character" w:customStyle="1" w:styleId="50">
    <w:name w:val="lb15"/>
    <w:basedOn w:val="4"/>
    <w:qFormat/>
    <w:uiPriority w:val="0"/>
  </w:style>
  <w:style w:type="character" w:customStyle="1" w:styleId="51">
    <w:name w:val="rb"/>
    <w:basedOn w:val="4"/>
    <w:qFormat/>
    <w:uiPriority w:val="0"/>
  </w:style>
  <w:style w:type="character" w:customStyle="1" w:styleId="52">
    <w:name w:val="rb1"/>
    <w:basedOn w:val="4"/>
    <w:qFormat/>
    <w:uiPriority w:val="0"/>
  </w:style>
  <w:style w:type="character" w:customStyle="1" w:styleId="53">
    <w:name w:val="rb2"/>
    <w:basedOn w:val="4"/>
    <w:qFormat/>
    <w:uiPriority w:val="0"/>
  </w:style>
  <w:style w:type="character" w:customStyle="1" w:styleId="54">
    <w:name w:val="rb3"/>
    <w:basedOn w:val="4"/>
    <w:qFormat/>
    <w:uiPriority w:val="0"/>
  </w:style>
  <w:style w:type="character" w:customStyle="1" w:styleId="55">
    <w:name w:val="rb4"/>
    <w:basedOn w:val="4"/>
    <w:qFormat/>
    <w:uiPriority w:val="0"/>
  </w:style>
  <w:style w:type="character" w:customStyle="1" w:styleId="56">
    <w:name w:val="rb5"/>
    <w:basedOn w:val="4"/>
    <w:qFormat/>
    <w:uiPriority w:val="0"/>
  </w:style>
  <w:style w:type="character" w:customStyle="1" w:styleId="57">
    <w:name w:val="rb6"/>
    <w:basedOn w:val="4"/>
    <w:qFormat/>
    <w:uiPriority w:val="0"/>
  </w:style>
  <w:style w:type="character" w:customStyle="1" w:styleId="58">
    <w:name w:val="rb7"/>
    <w:basedOn w:val="4"/>
    <w:qFormat/>
    <w:uiPriority w:val="0"/>
  </w:style>
  <w:style w:type="character" w:customStyle="1" w:styleId="59">
    <w:name w:val="rb8"/>
    <w:basedOn w:val="4"/>
    <w:qFormat/>
    <w:uiPriority w:val="0"/>
  </w:style>
  <w:style w:type="character" w:customStyle="1" w:styleId="60">
    <w:name w:val="rb9"/>
    <w:basedOn w:val="4"/>
    <w:qFormat/>
    <w:uiPriority w:val="0"/>
  </w:style>
  <w:style w:type="character" w:customStyle="1" w:styleId="61">
    <w:name w:val="rb10"/>
    <w:basedOn w:val="4"/>
    <w:qFormat/>
    <w:uiPriority w:val="0"/>
  </w:style>
  <w:style w:type="character" w:customStyle="1" w:styleId="62">
    <w:name w:val="rb11"/>
    <w:basedOn w:val="4"/>
    <w:qFormat/>
    <w:uiPriority w:val="0"/>
  </w:style>
  <w:style w:type="character" w:customStyle="1" w:styleId="63">
    <w:name w:val="rt"/>
    <w:basedOn w:val="4"/>
    <w:qFormat/>
    <w:uiPriority w:val="0"/>
  </w:style>
  <w:style w:type="character" w:customStyle="1" w:styleId="64">
    <w:name w:val="rt1"/>
    <w:basedOn w:val="4"/>
    <w:qFormat/>
    <w:uiPriority w:val="0"/>
  </w:style>
  <w:style w:type="character" w:customStyle="1" w:styleId="65">
    <w:name w:val="rt2"/>
    <w:basedOn w:val="4"/>
    <w:qFormat/>
    <w:uiPriority w:val="0"/>
  </w:style>
  <w:style w:type="character" w:customStyle="1" w:styleId="66">
    <w:name w:val="rt3"/>
    <w:basedOn w:val="4"/>
    <w:qFormat/>
    <w:uiPriority w:val="0"/>
  </w:style>
  <w:style w:type="character" w:customStyle="1" w:styleId="67">
    <w:name w:val="rt4"/>
    <w:basedOn w:val="4"/>
    <w:qFormat/>
    <w:uiPriority w:val="0"/>
  </w:style>
  <w:style w:type="character" w:customStyle="1" w:styleId="68">
    <w:name w:val="rt5"/>
    <w:basedOn w:val="4"/>
    <w:qFormat/>
    <w:uiPriority w:val="0"/>
  </w:style>
  <w:style w:type="character" w:customStyle="1" w:styleId="69">
    <w:name w:val="rt6"/>
    <w:basedOn w:val="4"/>
    <w:qFormat/>
    <w:uiPriority w:val="0"/>
  </w:style>
  <w:style w:type="character" w:customStyle="1" w:styleId="70">
    <w:name w:val="rt7"/>
    <w:basedOn w:val="4"/>
    <w:qFormat/>
    <w:uiPriority w:val="0"/>
  </w:style>
  <w:style w:type="character" w:customStyle="1" w:styleId="71">
    <w:name w:val="rt8"/>
    <w:basedOn w:val="4"/>
    <w:qFormat/>
    <w:uiPriority w:val="0"/>
  </w:style>
  <w:style w:type="character" w:customStyle="1" w:styleId="72">
    <w:name w:val="rt9"/>
    <w:basedOn w:val="4"/>
    <w:qFormat/>
    <w:uiPriority w:val="0"/>
  </w:style>
  <w:style w:type="character" w:customStyle="1" w:styleId="73">
    <w:name w:val="rt10"/>
    <w:basedOn w:val="4"/>
    <w:qFormat/>
    <w:uiPriority w:val="0"/>
  </w:style>
  <w:style w:type="character" w:customStyle="1" w:styleId="74">
    <w:name w:val="rt11"/>
    <w:basedOn w:val="4"/>
    <w:qFormat/>
    <w:uiPriority w:val="0"/>
  </w:style>
  <w:style w:type="character" w:customStyle="1" w:styleId="75">
    <w:name w:val="curpage"/>
    <w:qFormat/>
    <w:uiPriority w:val="0"/>
    <w:rPr>
      <w:color w:val="F36000"/>
    </w:rPr>
  </w:style>
  <w:style w:type="character" w:customStyle="1" w:styleId="76">
    <w:name w:val="curpage1"/>
    <w:qFormat/>
    <w:uiPriority w:val="0"/>
    <w:rPr>
      <w:color w:val="C20C00"/>
      <w:bdr w:val="single" w:color="999999" w:sz="6" w:space="0"/>
    </w:rPr>
  </w:style>
  <w:style w:type="character" w:customStyle="1" w:styleId="77">
    <w:name w:val="currecords"/>
    <w:qFormat/>
    <w:uiPriority w:val="0"/>
    <w:rPr>
      <w:color w:val="F36000"/>
    </w:rPr>
  </w:style>
  <w:style w:type="character" w:customStyle="1" w:styleId="78">
    <w:name w:val="currecords1"/>
    <w:qFormat/>
    <w:uiPriority w:val="0"/>
    <w:rPr>
      <w:color w:val="C20C00"/>
    </w:rPr>
  </w:style>
  <w:style w:type="character" w:customStyle="1" w:styleId="79">
    <w:name w:val="number"/>
    <w:qFormat/>
    <w:uiPriority w:val="0"/>
    <w:rPr>
      <w:color w:val="FFFFFF"/>
    </w:rPr>
  </w:style>
  <w:style w:type="character" w:customStyle="1" w:styleId="80">
    <w:name w:val="number1"/>
    <w:qFormat/>
    <w:uiPriority w:val="0"/>
    <w:rPr>
      <w:color w:va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XLGS.CN.COM</Company>
  <Pages>10</Pages>
  <Words>434</Words>
  <Characters>2476</Characters>
  <Lines>20</Lines>
  <Paragraphs>5</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NTKO</cp:lastModifiedBy>
  <cp:lastPrinted>2018-08-06T00:36:00Z</cp:lastPrinted>
  <dcterms:modified xsi:type="dcterms:W3CDTF">2019-03-18T03:23:52Z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