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360" w:lineRule="auto"/>
        <w:jc w:val="left"/>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附件1</w:t>
      </w:r>
      <w:r>
        <w:rPr>
          <w:rFonts w:hint="eastAsia" w:ascii="仿宋_GB2312" w:hAnsi="仿宋_GB2312" w:eastAsia="仿宋_GB2312" w:cs="仿宋_GB2312"/>
          <w:color w:val="auto"/>
          <w:sz w:val="32"/>
          <w:szCs w:val="32"/>
          <w:lang w:val="en-US" w:eastAsia="zh-CN"/>
        </w:rPr>
        <w:t>：</w:t>
      </w:r>
    </w:p>
    <w:p>
      <w:pPr>
        <w:widowControl/>
        <w:jc w:val="left"/>
        <w:rPr>
          <w:rFonts w:hint="eastAsia" w:ascii="黑体" w:hAnsi="宋体" w:eastAsia="黑体" w:cs="宋体"/>
          <w:color w:val="auto"/>
          <w:kern w:val="0"/>
          <w:sz w:val="28"/>
          <w:szCs w:val="28"/>
        </w:rPr>
      </w:pPr>
    </w:p>
    <w:p>
      <w:pPr>
        <w:widowControl/>
        <w:jc w:val="left"/>
        <w:rPr>
          <w:rFonts w:hint="eastAsia" w:ascii="黑体" w:hAnsi="宋体" w:eastAsia="黑体" w:cs="宋体"/>
          <w:color w:val="auto"/>
          <w:kern w:val="0"/>
          <w:sz w:val="28"/>
          <w:szCs w:val="28"/>
        </w:rPr>
      </w:pPr>
    </w:p>
    <w:p>
      <w:pPr>
        <w:widowControl/>
        <w:jc w:val="left"/>
        <w:rPr>
          <w:rFonts w:hint="eastAsia" w:ascii="黑体" w:hAnsi="宋体" w:eastAsia="黑体" w:cs="宋体"/>
          <w:color w:val="auto"/>
          <w:kern w:val="0"/>
          <w:sz w:val="28"/>
          <w:szCs w:val="28"/>
        </w:rPr>
      </w:pPr>
    </w:p>
    <w:p>
      <w:pPr>
        <w:widowControl/>
        <w:jc w:val="left"/>
        <w:rPr>
          <w:rFonts w:hint="eastAsia" w:ascii="黑体" w:hAnsi="宋体" w:eastAsia="黑体" w:cs="宋体"/>
          <w:color w:val="auto"/>
          <w:kern w:val="0"/>
          <w:sz w:val="28"/>
          <w:szCs w:val="28"/>
        </w:rPr>
      </w:pPr>
    </w:p>
    <w:p>
      <w:pPr>
        <w:widowControl/>
        <w:jc w:val="left"/>
        <w:rPr>
          <w:rFonts w:hint="eastAsia" w:ascii="黑体" w:hAnsi="宋体" w:eastAsia="黑体" w:cs="宋体"/>
          <w:color w:val="auto"/>
          <w:kern w:val="0"/>
          <w:sz w:val="28"/>
          <w:szCs w:val="28"/>
        </w:rPr>
      </w:pPr>
    </w:p>
    <w:p>
      <w:pPr>
        <w:jc w:val="center"/>
        <w:rPr>
          <w:rFonts w:hint="eastAsia" w:ascii="黑体" w:hAnsi="黑体" w:eastAsia="黑体" w:cs="黑体"/>
          <w:color w:val="auto"/>
          <w:w w:val="85"/>
          <w:sz w:val="52"/>
          <w:szCs w:val="52"/>
          <w:lang w:eastAsia="zh-CN"/>
        </w:rPr>
      </w:pPr>
      <w:r>
        <w:rPr>
          <w:rFonts w:hint="eastAsia" w:ascii="黑体" w:hAnsi="黑体" w:eastAsia="黑体" w:cs="黑体"/>
          <w:color w:val="auto"/>
          <w:sz w:val="52"/>
          <w:szCs w:val="52"/>
          <w:lang w:eastAsia="zh-CN"/>
        </w:rPr>
        <w:t>焦作市城乡一体化示范区动物卫生监督</w:t>
      </w:r>
    </w:p>
    <w:p>
      <w:pPr>
        <w:jc w:val="center"/>
        <w:rPr>
          <w:rFonts w:hint="eastAsia" w:ascii="黑体" w:hAnsi="黑体" w:eastAsia="黑体" w:cs="黑体"/>
          <w:color w:val="auto"/>
          <w:sz w:val="52"/>
          <w:szCs w:val="52"/>
        </w:rPr>
      </w:pPr>
      <w:r>
        <w:rPr>
          <w:rFonts w:hint="eastAsia" w:ascii="黑体" w:hAnsi="黑体" w:eastAsia="黑体" w:cs="黑体"/>
          <w:color w:val="auto"/>
          <w:sz w:val="52"/>
          <w:szCs w:val="52"/>
          <w:lang w:val="en-US" w:eastAsia="zh-CN"/>
        </w:rPr>
        <w:t>所</w:t>
      </w:r>
      <w:r>
        <w:rPr>
          <w:rFonts w:hint="eastAsia" w:ascii="黑体" w:hAnsi="黑体" w:eastAsia="黑体" w:cs="黑体"/>
          <w:color w:val="auto"/>
          <w:sz w:val="52"/>
          <w:szCs w:val="52"/>
        </w:rPr>
        <w:t>201</w:t>
      </w:r>
      <w:r>
        <w:rPr>
          <w:rFonts w:hint="eastAsia" w:ascii="黑体" w:hAnsi="黑体" w:eastAsia="黑体" w:cs="黑体"/>
          <w:color w:val="auto"/>
          <w:sz w:val="52"/>
          <w:szCs w:val="52"/>
          <w:lang w:val="en-US" w:eastAsia="zh-CN"/>
        </w:rPr>
        <w:t>8</w:t>
      </w:r>
      <w:r>
        <w:rPr>
          <w:rFonts w:hint="eastAsia" w:ascii="黑体" w:hAnsi="黑体" w:eastAsia="黑体" w:cs="黑体"/>
          <w:color w:val="auto"/>
          <w:sz w:val="52"/>
          <w:szCs w:val="52"/>
        </w:rPr>
        <w:t>年度部门</w:t>
      </w:r>
      <w:r>
        <w:rPr>
          <w:rFonts w:hint="eastAsia" w:ascii="黑体" w:hAnsi="黑体" w:eastAsia="黑体" w:cs="黑体"/>
          <w:color w:val="auto"/>
          <w:sz w:val="52"/>
          <w:szCs w:val="52"/>
          <w:lang w:eastAsia="zh-CN"/>
        </w:rPr>
        <w:t>预</w:t>
      </w:r>
      <w:r>
        <w:rPr>
          <w:rFonts w:hint="eastAsia" w:ascii="黑体" w:hAnsi="黑体" w:eastAsia="黑体" w:cs="黑体"/>
          <w:color w:val="auto"/>
          <w:sz w:val="52"/>
          <w:szCs w:val="52"/>
        </w:rPr>
        <w:t>算</w:t>
      </w:r>
    </w:p>
    <w:p>
      <w:pPr>
        <w:jc w:val="center"/>
        <w:rPr>
          <w:rFonts w:hint="eastAsia" w:ascii="黑体" w:hAnsi="黑体" w:eastAsia="黑体" w:cs="黑体"/>
          <w:color w:val="auto"/>
          <w:sz w:val="52"/>
          <w:szCs w:val="52"/>
        </w:rPr>
      </w:pPr>
    </w:p>
    <w:p>
      <w:pPr>
        <w:jc w:val="center"/>
        <w:rPr>
          <w:rFonts w:hint="eastAsia" w:ascii="黑体" w:hAnsi="黑体" w:eastAsia="黑体" w:cs="黑体"/>
          <w:color w:val="auto"/>
          <w:sz w:val="52"/>
          <w:szCs w:val="52"/>
        </w:rPr>
      </w:pPr>
    </w:p>
    <w:p>
      <w:pPr>
        <w:jc w:val="center"/>
        <w:rPr>
          <w:rFonts w:hint="eastAsia" w:ascii="黑体" w:hAnsi="黑体" w:eastAsia="黑体" w:cs="黑体"/>
          <w:color w:val="auto"/>
          <w:sz w:val="52"/>
          <w:szCs w:val="52"/>
        </w:rPr>
      </w:pPr>
    </w:p>
    <w:p>
      <w:pPr>
        <w:jc w:val="center"/>
        <w:rPr>
          <w:rFonts w:hint="eastAsia" w:ascii="黑体" w:hAnsi="黑体" w:eastAsia="黑体" w:cs="黑体"/>
          <w:color w:val="auto"/>
          <w:sz w:val="52"/>
          <w:szCs w:val="52"/>
        </w:rPr>
      </w:pPr>
    </w:p>
    <w:p>
      <w:pPr>
        <w:jc w:val="center"/>
        <w:rPr>
          <w:rFonts w:hint="eastAsia" w:ascii="黑体" w:hAnsi="黑体" w:eastAsia="黑体" w:cs="黑体"/>
          <w:color w:val="auto"/>
          <w:sz w:val="52"/>
          <w:szCs w:val="52"/>
        </w:rPr>
      </w:pPr>
    </w:p>
    <w:p>
      <w:pPr>
        <w:adjustRightInd w:val="0"/>
        <w:snapToGrid w:val="0"/>
        <w:spacing w:line="360" w:lineRule="auto"/>
        <w:jc w:val="center"/>
        <w:rPr>
          <w:rFonts w:hint="eastAsia" w:ascii="方正小标宋简体" w:hAnsi="方正小标宋简体" w:eastAsia="方正小标宋简体" w:cs="方正小标宋简体"/>
          <w:color w:val="auto"/>
          <w:sz w:val="44"/>
          <w:szCs w:val="44"/>
          <w:lang w:val="en-US" w:eastAsia="zh-CN"/>
        </w:rPr>
      </w:pPr>
    </w:p>
    <w:p>
      <w:pPr>
        <w:adjustRightInd w:val="0"/>
        <w:snapToGrid w:val="0"/>
        <w:spacing w:line="360" w:lineRule="auto"/>
        <w:jc w:val="both"/>
        <w:rPr>
          <w:rFonts w:hint="eastAsia" w:ascii="方正小标宋简体" w:hAnsi="方正小标宋简体" w:eastAsia="方正小标宋简体" w:cs="方正小标宋简体"/>
          <w:color w:val="auto"/>
          <w:sz w:val="44"/>
          <w:szCs w:val="44"/>
        </w:rPr>
      </w:pPr>
    </w:p>
    <w:p>
      <w:pPr>
        <w:kinsoku w:val="0"/>
        <w:overflowPunct w:val="0"/>
        <w:adjustRightInd w:val="0"/>
        <w:snapToGrid w:val="0"/>
        <w:spacing w:line="360" w:lineRule="auto"/>
        <w:ind w:left="101" w:right="3569" w:firstLine="624" w:firstLineChars="200"/>
        <w:rPr>
          <w:rFonts w:hint="eastAsia" w:ascii="仿宋_GB2312" w:hAnsi="仿宋_GB2312" w:eastAsia="仿宋_GB2312" w:cs="仿宋_GB2312"/>
          <w:color w:val="auto"/>
          <w:sz w:val="32"/>
          <w:szCs w:val="32"/>
        </w:rPr>
      </w:pPr>
    </w:p>
    <w:p>
      <w:pPr>
        <w:kinsoku w:val="0"/>
        <w:overflowPunct w:val="0"/>
        <w:adjustRightInd w:val="0"/>
        <w:snapToGrid w:val="0"/>
        <w:spacing w:line="360" w:lineRule="auto"/>
        <w:ind w:left="-142" w:right="51" w:firstLine="30" w:firstLineChars="7"/>
        <w:jc w:val="center"/>
        <w:rPr>
          <w:rFonts w:hint="eastAsia" w:ascii="仿宋_GB2312" w:hAnsi="仿宋_GB2312" w:eastAsia="仿宋_GB2312" w:cs="仿宋_GB2312"/>
          <w:color w:val="auto"/>
          <w:sz w:val="44"/>
          <w:szCs w:val="44"/>
        </w:rPr>
      </w:pPr>
      <w:r>
        <w:rPr>
          <w:rFonts w:hint="eastAsia" w:ascii="仿宋_GB2312" w:hAnsi="仿宋_GB2312" w:eastAsia="仿宋_GB2312" w:cs="仿宋_GB2312"/>
          <w:color w:val="auto"/>
          <w:sz w:val="44"/>
          <w:szCs w:val="44"/>
        </w:rPr>
        <w:t>目</w:t>
      </w:r>
      <w:r>
        <w:rPr>
          <w:rFonts w:hint="eastAsia" w:ascii="仿宋_GB2312" w:hAnsi="仿宋_GB2312" w:eastAsia="仿宋_GB2312" w:cs="仿宋_GB2312"/>
          <w:color w:val="auto"/>
          <w:spacing w:val="2"/>
          <w:sz w:val="44"/>
          <w:szCs w:val="44"/>
        </w:rPr>
        <w:t xml:space="preserve"> </w:t>
      </w:r>
      <w:r>
        <w:rPr>
          <w:rFonts w:hint="eastAsia" w:ascii="仿宋_GB2312" w:hAnsi="仿宋_GB2312" w:eastAsia="仿宋_GB2312" w:cs="仿宋_GB2312"/>
          <w:color w:val="auto"/>
          <w:sz w:val="44"/>
          <w:szCs w:val="44"/>
        </w:rPr>
        <w:t>录</w:t>
      </w:r>
    </w:p>
    <w:p>
      <w:pPr>
        <w:kinsoku w:val="0"/>
        <w:overflowPunct w:val="0"/>
        <w:adjustRightInd w:val="0"/>
        <w:snapToGrid w:val="0"/>
        <w:spacing w:line="360" w:lineRule="auto"/>
        <w:ind w:right="3569" w:firstLine="624" w:firstLineChars="200"/>
        <w:rPr>
          <w:rFonts w:hint="eastAsia" w:ascii="仿宋_GB2312" w:hAnsi="仿宋_GB2312" w:eastAsia="仿宋_GB2312" w:cs="仿宋_GB2312"/>
          <w:color w:val="auto"/>
          <w:w w:val="99"/>
          <w:sz w:val="32"/>
          <w:szCs w:val="32"/>
        </w:rPr>
      </w:pPr>
      <w:r>
        <w:rPr>
          <w:rFonts w:hint="eastAsia" w:ascii="仿宋_GB2312" w:hAnsi="仿宋_GB2312" w:eastAsia="仿宋_GB2312" w:cs="仿宋_GB2312"/>
          <w:b/>
          <w:bCs/>
          <w:color w:val="auto"/>
          <w:sz w:val="32"/>
          <w:szCs w:val="32"/>
        </w:rPr>
        <w:t xml:space="preserve">第一部分 </w:t>
      </w:r>
      <w:r>
        <w:rPr>
          <w:rFonts w:hint="eastAsia" w:ascii="仿宋_GB2312" w:hAnsi="仿宋_GB2312" w:eastAsia="仿宋_GB2312" w:cs="仿宋_GB2312"/>
          <w:b/>
          <w:bCs/>
          <w:color w:val="auto"/>
          <w:sz w:val="32"/>
          <w:szCs w:val="32"/>
          <w:lang w:val="en-US" w:eastAsia="zh-CN"/>
        </w:rPr>
        <w:t xml:space="preserve"> </w:t>
      </w:r>
      <w:r>
        <w:rPr>
          <w:rFonts w:hint="eastAsia" w:ascii="仿宋_GB2312" w:hAnsi="仿宋_GB2312" w:eastAsia="仿宋_GB2312" w:cs="仿宋_GB2312"/>
          <w:b/>
          <w:bCs/>
          <w:color w:val="auto"/>
          <w:sz w:val="32"/>
          <w:szCs w:val="32"/>
        </w:rPr>
        <w:t>概况</w:t>
      </w:r>
      <w:r>
        <w:rPr>
          <w:rFonts w:hint="eastAsia" w:ascii="仿宋_GB2312" w:hAnsi="仿宋_GB2312" w:eastAsia="仿宋_GB2312" w:cs="仿宋_GB2312"/>
          <w:color w:val="auto"/>
          <w:w w:val="99"/>
          <w:sz w:val="32"/>
          <w:szCs w:val="32"/>
        </w:rPr>
        <w:t xml:space="preserve"> </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一、主要职能</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二、部门预算单位构成</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第二部门动物卫生监督所2018年部门预算情况说明</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第三部分 名词解释</w:t>
      </w:r>
    </w:p>
    <w:p>
      <w:pPr>
        <w:kinsoku w:val="0"/>
        <w:overflowPunct w:val="0"/>
        <w:adjustRightInd w:val="0"/>
        <w:snapToGrid w:val="0"/>
        <w:spacing w:line="360" w:lineRule="auto"/>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w:t>
      </w:r>
      <w:r>
        <w:rPr>
          <w:rFonts w:hint="eastAsia" w:ascii="仿宋_GB2312" w:hAnsi="仿宋_GB2312" w:eastAsia="仿宋_GB2312" w:cs="仿宋_GB2312"/>
          <w:color w:val="auto"/>
          <w:spacing w:val="-32"/>
          <w:sz w:val="32"/>
          <w:szCs w:val="32"/>
        </w:rPr>
        <w:t xml:space="preserve"> </w:t>
      </w:r>
      <w:r>
        <w:rPr>
          <w:rFonts w:hint="eastAsia" w:ascii="仿宋_GB2312" w:hAnsi="仿宋_GB2312" w:eastAsia="仿宋_GB2312" w:cs="仿宋_GB2312"/>
          <w:color w:val="auto"/>
          <w:sz w:val="32"/>
          <w:szCs w:val="32"/>
          <w:lang w:val="en-US" w:eastAsia="zh-CN"/>
        </w:rPr>
        <w:t xml:space="preserve"> 动物卫生监督所2018</w:t>
      </w:r>
      <w:r>
        <w:rPr>
          <w:rFonts w:hint="eastAsia" w:ascii="仿宋_GB2312" w:hAnsi="仿宋_GB2312" w:eastAsia="仿宋_GB2312" w:cs="仿宋_GB2312"/>
          <w:color w:val="auto"/>
          <w:spacing w:val="-116"/>
          <w:sz w:val="32"/>
          <w:szCs w:val="32"/>
        </w:rPr>
        <w:t xml:space="preserve"> </w:t>
      </w:r>
      <w:r>
        <w:rPr>
          <w:rFonts w:hint="eastAsia" w:ascii="仿宋_GB2312" w:hAnsi="仿宋_GB2312" w:eastAsia="仿宋_GB2312" w:cs="仿宋_GB2312"/>
          <w:color w:val="auto"/>
          <w:sz w:val="32"/>
          <w:szCs w:val="32"/>
        </w:rPr>
        <w:t>年度部门预算表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一、部门收支总体情况表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二、部门收入总体情况表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三、部门支出总体情况表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四、财政拨款收支总体情况表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五、一般公共预算支出情况表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六、一般公共预算基本支出情况表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八、政府性基金预算支出情况表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九、国有资本经营预算收支情况表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十、机关运行经费</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十一、预算项目支出绩效目标表</w:t>
      </w:r>
    </w:p>
    <w:p>
      <w:pPr>
        <w:adjustRightInd w:val="0"/>
        <w:snapToGrid w:val="0"/>
        <w:spacing w:line="360" w:lineRule="auto"/>
        <w:ind w:firstLine="3744" w:firstLineChars="1200"/>
        <w:jc w:val="both"/>
        <w:rPr>
          <w:rFonts w:hint="eastAsia" w:ascii="仿宋_GB2312" w:hAnsi="仿宋_GB2312" w:eastAsia="仿宋_GB2312" w:cs="仿宋_GB2312"/>
          <w:color w:val="auto"/>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color w:val="auto"/>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第一部分</w:t>
      </w:r>
    </w:p>
    <w:p>
      <w:pPr>
        <w:adjustRightInd w:val="0"/>
        <w:snapToGrid w:val="0"/>
        <w:spacing w:line="360" w:lineRule="auto"/>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动物卫生监督所</w:t>
      </w:r>
      <w:r>
        <w:rPr>
          <w:rFonts w:hint="eastAsia" w:ascii="仿宋_GB2312" w:hAnsi="仿宋_GB2312" w:eastAsia="仿宋_GB2312" w:cs="仿宋_GB2312"/>
          <w:b/>
          <w:bCs/>
          <w:color w:val="auto"/>
          <w:sz w:val="32"/>
          <w:szCs w:val="32"/>
        </w:rPr>
        <w:t>概况</w:t>
      </w:r>
    </w:p>
    <w:p>
      <w:pPr>
        <w:adjustRightInd w:val="0"/>
        <w:snapToGrid w:val="0"/>
        <w:spacing w:line="360" w:lineRule="auto"/>
        <w:ind w:firstLine="624" w:firstLineChars="200"/>
        <w:jc w:val="center"/>
        <w:rPr>
          <w:rFonts w:hint="eastAsia" w:ascii="仿宋_GB2312" w:hAnsi="仿宋_GB2312" w:eastAsia="仿宋_GB2312" w:cs="仿宋_GB2312"/>
          <w:color w:val="auto"/>
          <w:sz w:val="32"/>
          <w:szCs w:val="32"/>
        </w:rPr>
      </w:pPr>
    </w:p>
    <w:p>
      <w:pPr>
        <w:numPr>
          <w:ilvl w:val="0"/>
          <w:numId w:val="1"/>
        </w:numPr>
        <w:adjustRightInd w:val="0"/>
        <w:snapToGrid w:val="0"/>
        <w:spacing w:line="360" w:lineRule="auto"/>
        <w:ind w:firstLine="624"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主要职能</w:t>
      </w:r>
    </w:p>
    <w:p>
      <w:pPr>
        <w:numPr>
          <w:ilvl w:val="0"/>
          <w:numId w:val="2"/>
        </w:numPr>
        <w:kinsoku w:val="0"/>
        <w:overflowPunct w:val="0"/>
        <w:adjustRightInd w:val="0"/>
        <w:snapToGrid w:val="0"/>
        <w:spacing w:line="360" w:lineRule="auto"/>
        <w:ind w:right="3569" w:firstLine="624" w:firstLineChars="20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机构设置情况</w:t>
      </w:r>
    </w:p>
    <w:p>
      <w:pPr>
        <w:spacing w:line="360" w:lineRule="auto"/>
        <w:ind w:firstLine="624"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焦作市城乡一体化示范区动物卫生监督所，为中共焦作市示范区工委农村工作办公室（焦作市示范区管委会农村工作办公室）二级机构，规格为副科级，</w:t>
      </w:r>
      <w:r>
        <w:rPr>
          <w:rFonts w:hint="eastAsia" w:ascii="仿宋_GB2312" w:hAnsi="仿宋_GB2312" w:eastAsia="仿宋_GB2312" w:cs="仿宋_GB2312"/>
          <w:b w:val="0"/>
          <w:bCs w:val="0"/>
          <w:sz w:val="32"/>
          <w:szCs w:val="32"/>
          <w:lang w:val="en-US" w:eastAsia="zh-CN"/>
        </w:rPr>
        <w:t>核定人员编制25名，</w:t>
      </w:r>
      <w:r>
        <w:rPr>
          <w:rFonts w:hint="eastAsia" w:ascii="仿宋" w:hAnsi="仿宋" w:eastAsia="仿宋" w:cs="仿宋"/>
          <w:color w:val="auto"/>
          <w:sz w:val="32"/>
          <w:szCs w:val="32"/>
          <w:lang w:val="en-US" w:eastAsia="zh-CN"/>
        </w:rPr>
        <w:t>实有工作人员12名，</w:t>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lang w:eastAsia="zh-CN"/>
        </w:rPr>
        <w:t>：</w:t>
      </w:r>
      <w:r>
        <w:rPr>
          <w:rFonts w:hint="eastAsia" w:ascii="仿宋" w:hAnsi="仿宋" w:eastAsia="仿宋" w:cs="仿宋"/>
          <w:color w:val="auto"/>
          <w:sz w:val="32"/>
          <w:szCs w:val="32"/>
          <w:lang w:val="en-US" w:eastAsia="zh-CN"/>
        </w:rPr>
        <w:t>副科级1名，科员11名。</w:t>
      </w:r>
      <w:r>
        <w:rPr>
          <w:rFonts w:hint="eastAsia" w:ascii="仿宋" w:hAnsi="仿宋" w:eastAsia="仿宋" w:cs="仿宋"/>
          <w:color w:val="auto"/>
          <w:sz w:val="32"/>
          <w:szCs w:val="32"/>
        </w:rPr>
        <w:t>经费供给方式为示范区财政全额拨付。</w:t>
      </w:r>
    </w:p>
    <w:p>
      <w:pPr>
        <w:numPr>
          <w:ilvl w:val="0"/>
          <w:numId w:val="3"/>
        </w:numPr>
        <w:kinsoku w:val="0"/>
        <w:overflowPunct w:val="0"/>
        <w:adjustRightInd w:val="0"/>
        <w:snapToGrid w:val="0"/>
        <w:spacing w:line="360" w:lineRule="auto"/>
        <w:ind w:right="3569" w:firstLine="624" w:firstLineChars="20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部门职责</w:t>
      </w:r>
    </w:p>
    <w:p>
      <w:pPr>
        <w:widowControl w:val="0"/>
        <w:numPr>
          <w:ilvl w:val="0"/>
          <w:numId w:val="4"/>
        </w:numPr>
        <w:wordWrap/>
        <w:adjustRightInd/>
        <w:snapToGrid/>
        <w:spacing w:before="0" w:beforeAutospacing="0" w:after="0" w:afterAutospacing="0" w:line="240" w:lineRule="auto"/>
        <w:ind w:left="0" w:leftChars="0" w:right="0" w:firstLine="624" w:firstLineChars="200"/>
        <w:jc w:val="both"/>
        <w:textAlignment w:val="auto"/>
        <w:outlineLvl w:val="9"/>
        <w:rPr>
          <w:rFonts w:hint="eastAsia" w:ascii="仿宋" w:hAnsi="仿宋" w:eastAsia="仿宋" w:cs="仿宋"/>
          <w:color w:val="auto"/>
          <w:kern w:val="2"/>
          <w:sz w:val="32"/>
          <w:szCs w:val="32"/>
          <w:lang w:val="en-US" w:eastAsia="zh-CN"/>
        </w:rPr>
      </w:pPr>
      <w:r>
        <w:rPr>
          <w:rFonts w:hint="eastAsia" w:ascii="仿宋" w:hAnsi="仿宋" w:eastAsia="仿宋" w:cs="仿宋"/>
          <w:color w:val="auto"/>
          <w:kern w:val="2"/>
          <w:sz w:val="32"/>
          <w:szCs w:val="32"/>
          <w:lang w:val="en-US" w:eastAsia="zh-CN"/>
        </w:rPr>
        <w:t>负责受理动物及动物产品的产地检疫。</w:t>
      </w:r>
    </w:p>
    <w:p>
      <w:pPr>
        <w:widowControl w:val="0"/>
        <w:numPr>
          <w:ilvl w:val="0"/>
          <w:numId w:val="4"/>
        </w:numPr>
        <w:wordWrap/>
        <w:adjustRightInd/>
        <w:snapToGrid/>
        <w:spacing w:before="0" w:beforeAutospacing="0" w:after="0" w:afterAutospacing="0" w:line="240" w:lineRule="auto"/>
        <w:ind w:left="0" w:leftChars="0" w:right="0" w:firstLine="624"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 w:hAnsi="仿宋" w:eastAsia="仿宋" w:cs="仿宋"/>
          <w:color w:val="auto"/>
          <w:kern w:val="2"/>
          <w:sz w:val="32"/>
          <w:szCs w:val="32"/>
          <w:lang w:val="en-US" w:eastAsia="zh-CN"/>
        </w:rPr>
        <w:t>负责向屠宰场（厂、点）派驻(出）官方兽医实施屠宰检疫。</w:t>
      </w:r>
    </w:p>
    <w:p>
      <w:pPr>
        <w:widowControl w:val="0"/>
        <w:numPr>
          <w:ilvl w:val="0"/>
          <w:numId w:val="4"/>
        </w:numPr>
        <w:wordWrap/>
        <w:adjustRightInd/>
        <w:snapToGrid/>
        <w:spacing w:before="0" w:beforeAutospacing="0" w:after="0" w:afterAutospacing="0" w:line="240" w:lineRule="auto"/>
        <w:ind w:left="0" w:leftChars="0" w:right="0" w:firstLine="624"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 w:hAnsi="仿宋" w:eastAsia="仿宋" w:cs="仿宋"/>
          <w:color w:val="auto"/>
          <w:kern w:val="2"/>
          <w:sz w:val="32"/>
          <w:szCs w:val="32"/>
          <w:lang w:val="en-US" w:eastAsia="zh-CN"/>
        </w:rPr>
        <w:t>检疫证明、检疫印章、检疫标志的领用、管理和发放。</w:t>
      </w:r>
    </w:p>
    <w:p>
      <w:pPr>
        <w:widowControl w:val="0"/>
        <w:numPr>
          <w:ilvl w:val="0"/>
          <w:numId w:val="4"/>
        </w:numPr>
        <w:wordWrap/>
        <w:adjustRightInd/>
        <w:snapToGrid/>
        <w:spacing w:before="0" w:beforeAutospacing="0" w:after="0" w:afterAutospacing="0" w:line="240" w:lineRule="auto"/>
        <w:ind w:left="0" w:leftChars="0" w:right="0" w:firstLine="624"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 w:hAnsi="仿宋" w:eastAsia="仿宋" w:cs="仿宋"/>
          <w:color w:val="auto"/>
          <w:kern w:val="2"/>
          <w:sz w:val="32"/>
          <w:szCs w:val="32"/>
          <w:lang w:val="en-US" w:eastAsia="zh-CN"/>
        </w:rPr>
        <w:t>负责动物饲养场、养殖小区、动物屠宰加工场所以及动物和动物产品无害化处理场所动物防疫条件审查和监督执法工作。</w:t>
      </w:r>
    </w:p>
    <w:p>
      <w:pPr>
        <w:widowControl w:val="0"/>
        <w:numPr>
          <w:ilvl w:val="0"/>
          <w:numId w:val="4"/>
        </w:numPr>
        <w:wordWrap/>
        <w:adjustRightInd/>
        <w:snapToGrid/>
        <w:spacing w:before="0" w:beforeAutospacing="0" w:after="0" w:afterAutospacing="0" w:line="240" w:lineRule="auto"/>
        <w:ind w:left="0" w:leftChars="0" w:right="0" w:firstLine="624" w:firstLineChars="200"/>
        <w:jc w:val="both"/>
        <w:textAlignment w:val="auto"/>
        <w:outlineLvl w:val="9"/>
        <w:rPr>
          <w:rFonts w:hint="eastAsia" w:ascii="仿宋_GB2312" w:hAnsi="仿宋_GB2312" w:eastAsia="仿宋_GB2312" w:cs="仿宋_GB2312"/>
          <w:color w:val="auto"/>
          <w:sz w:val="32"/>
          <w:szCs w:val="32"/>
          <w:lang w:val="en-US" w:eastAsia="zh-CN"/>
        </w:rPr>
      </w:pPr>
      <w:r>
        <w:rPr>
          <w:rFonts w:hint="eastAsia" w:ascii="仿宋" w:hAnsi="仿宋" w:eastAsia="仿宋" w:cs="仿宋"/>
          <w:color w:val="auto"/>
          <w:kern w:val="2"/>
          <w:sz w:val="32"/>
          <w:szCs w:val="32"/>
          <w:lang w:val="en-US" w:eastAsia="zh-CN"/>
        </w:rPr>
        <w:t>对动物饲养、屠宰、经营、隔离、运输以及动物产品生产、经营、加工、存储、运输等活动中的动物防疫实施监督管理。</w:t>
      </w:r>
    </w:p>
    <w:p>
      <w:pPr>
        <w:numPr>
          <w:numId w:val="0"/>
        </w:numPr>
        <w:kinsoku w:val="0"/>
        <w:overflowPunct w:val="0"/>
        <w:adjustRightInd w:val="0"/>
        <w:snapToGrid w:val="0"/>
        <w:spacing w:line="360" w:lineRule="auto"/>
        <w:ind w:right="3569"/>
        <w:jc w:val="left"/>
        <w:rPr>
          <w:rFonts w:hint="eastAsia" w:ascii="仿宋_GB2312" w:hAnsi="仿宋_GB2312" w:eastAsia="仿宋_GB2312" w:cs="仿宋_GB2312"/>
          <w:color w:val="auto"/>
          <w:sz w:val="32"/>
          <w:szCs w:val="32"/>
          <w:lang w:val="en-US" w:eastAsia="zh-CN"/>
        </w:rPr>
      </w:pPr>
    </w:p>
    <w:p>
      <w:pPr>
        <w:kinsoku w:val="0"/>
        <w:overflowPunct w:val="0"/>
        <w:adjustRightInd w:val="0"/>
        <w:snapToGrid w:val="0"/>
        <w:spacing w:line="360" w:lineRule="auto"/>
        <w:ind w:right="3569" w:firstLine="624" w:firstLineChars="200"/>
        <w:jc w:val="left"/>
        <w:outlineLvl w:val="0"/>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二、</w:t>
      </w:r>
      <w:r>
        <w:rPr>
          <w:rFonts w:hint="eastAsia" w:ascii="仿宋_GB2312" w:hAnsi="仿宋_GB2312" w:eastAsia="仿宋_GB2312" w:cs="仿宋_GB2312"/>
          <w:b w:val="0"/>
          <w:bCs w:val="0"/>
          <w:color w:val="auto"/>
          <w:sz w:val="32"/>
          <w:szCs w:val="32"/>
          <w:lang w:val="en-US" w:eastAsia="zh-CN"/>
        </w:rPr>
        <w:t>动物卫生监督所</w:t>
      </w:r>
      <w:r>
        <w:rPr>
          <w:rFonts w:hint="eastAsia" w:ascii="仿宋_GB2312" w:hAnsi="仿宋_GB2312" w:eastAsia="仿宋_GB2312" w:cs="仿宋_GB2312"/>
          <w:b w:val="0"/>
          <w:bCs w:val="0"/>
          <w:color w:val="auto"/>
          <w:sz w:val="32"/>
          <w:szCs w:val="32"/>
        </w:rPr>
        <w:t>预算单位构成</w:t>
      </w:r>
    </w:p>
    <w:p>
      <w:pPr>
        <w:widowControl/>
        <w:shd w:val="clear" w:color="auto" w:fill="FFFFFF"/>
        <w:wordWrap/>
        <w:adjustRightInd/>
        <w:snapToGrid/>
        <w:spacing w:line="450" w:lineRule="atLeast"/>
        <w:ind w:firstLine="624" w:firstLineChars="200"/>
        <w:jc w:val="both"/>
        <w:textAlignment w:val="auto"/>
        <w:outlineLvl w:val="9"/>
        <w:rPr>
          <w:rFonts w:hint="eastAsia" w:ascii="仿宋_GB2312" w:hAnsi="仿宋_GB2312" w:eastAsia="仿宋_GB2312" w:cs="仿宋_GB2312"/>
          <w:i w:val="0"/>
          <w:caps w:val="0"/>
          <w:color w:val="000000"/>
          <w:spacing w:val="0"/>
          <w:sz w:val="32"/>
          <w:szCs w:val="32"/>
          <w:shd w:val="clear" w:color="070000" w:fill="FFFFFF"/>
          <w:lang w:eastAsia="zh-CN"/>
        </w:rPr>
      </w:pPr>
      <w:r>
        <w:rPr>
          <w:rFonts w:hint="eastAsia" w:ascii="仿宋_GB2312" w:hAnsi="仿宋_GB2312" w:eastAsia="仿宋_GB2312" w:cs="仿宋_GB2312"/>
          <w:i w:val="0"/>
          <w:caps w:val="0"/>
          <w:color w:val="000000"/>
          <w:spacing w:val="0"/>
          <w:sz w:val="32"/>
          <w:szCs w:val="32"/>
          <w:highlight w:val="none"/>
          <w:shd w:val="clear" w:color="070000" w:fill="FFFFFF"/>
          <w:lang w:eastAsia="zh-CN"/>
        </w:rPr>
        <w:t>动物卫生监督所</w:t>
      </w:r>
      <w:r>
        <w:rPr>
          <w:rFonts w:hint="eastAsia" w:ascii="仿宋_GB2312" w:hAnsi="仿宋_GB2312" w:eastAsia="仿宋_GB2312" w:cs="仿宋_GB2312"/>
          <w:i w:val="0"/>
          <w:caps w:val="0"/>
          <w:color w:val="000000"/>
          <w:spacing w:val="0"/>
          <w:sz w:val="32"/>
          <w:szCs w:val="32"/>
          <w:shd w:val="clear" w:color="070000" w:fill="FFFFFF"/>
        </w:rPr>
        <w:t>201</w:t>
      </w:r>
      <w:r>
        <w:rPr>
          <w:rFonts w:hint="eastAsia" w:ascii="仿宋_GB2312" w:hAnsi="仿宋_GB2312" w:eastAsia="仿宋_GB2312" w:cs="仿宋_GB2312"/>
          <w:i w:val="0"/>
          <w:caps w:val="0"/>
          <w:color w:val="000000"/>
          <w:spacing w:val="0"/>
          <w:sz w:val="32"/>
          <w:szCs w:val="32"/>
          <w:shd w:val="clear" w:color="070000" w:fill="FFFFFF"/>
          <w:lang w:val="en-US" w:eastAsia="zh-CN"/>
        </w:rPr>
        <w:t>8</w:t>
      </w:r>
      <w:r>
        <w:rPr>
          <w:rFonts w:hint="eastAsia" w:ascii="仿宋_GB2312" w:hAnsi="仿宋_GB2312" w:eastAsia="仿宋_GB2312" w:cs="仿宋_GB2312"/>
          <w:i w:val="0"/>
          <w:caps w:val="0"/>
          <w:color w:val="000000"/>
          <w:spacing w:val="0"/>
          <w:sz w:val="32"/>
          <w:szCs w:val="32"/>
          <w:shd w:val="clear" w:color="070000" w:fill="FFFFFF"/>
        </w:rPr>
        <w:t>年预算</w:t>
      </w:r>
      <w:r>
        <w:rPr>
          <w:rFonts w:hint="eastAsia" w:ascii="仿宋_GB2312" w:hAnsi="仿宋_GB2312" w:eastAsia="仿宋_GB2312" w:cs="仿宋_GB2312"/>
          <w:i w:val="0"/>
          <w:caps w:val="0"/>
          <w:color w:val="000000"/>
          <w:spacing w:val="0"/>
          <w:sz w:val="32"/>
          <w:szCs w:val="32"/>
          <w:shd w:val="clear" w:color="070000" w:fill="FFFFFF"/>
          <w:lang w:eastAsia="zh-CN"/>
        </w:rPr>
        <w:t>为</w:t>
      </w:r>
      <w:r>
        <w:rPr>
          <w:rFonts w:hint="eastAsia" w:ascii="仿宋_GB2312" w:hAnsi="仿宋_GB2312" w:eastAsia="仿宋_GB2312" w:cs="仿宋_GB2312"/>
          <w:i w:val="0"/>
          <w:caps w:val="0"/>
          <w:color w:val="000000"/>
          <w:spacing w:val="0"/>
          <w:sz w:val="32"/>
          <w:szCs w:val="32"/>
          <w:shd w:val="clear" w:color="070000" w:fill="FFFFFF"/>
        </w:rPr>
        <w:t>本级预算</w:t>
      </w:r>
      <w:r>
        <w:rPr>
          <w:rFonts w:hint="eastAsia" w:ascii="仿宋_GB2312" w:hAnsi="仿宋_GB2312" w:eastAsia="仿宋_GB2312" w:cs="仿宋_GB2312"/>
          <w:i w:val="0"/>
          <w:caps w:val="0"/>
          <w:color w:val="000000"/>
          <w:spacing w:val="0"/>
          <w:sz w:val="32"/>
          <w:szCs w:val="32"/>
          <w:shd w:val="clear" w:color="070000" w:fill="FFFFFF"/>
          <w:lang w:eastAsia="zh-CN"/>
        </w:rPr>
        <w:t>。</w:t>
      </w:r>
    </w:p>
    <w:p>
      <w:pPr>
        <w:widowControl/>
        <w:shd w:val="clear" w:color="auto" w:fill="FFFFFF"/>
        <w:spacing w:line="450" w:lineRule="atLeast"/>
        <w:jc w:val="center"/>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rPr>
        <w:t>第二部分</w:t>
      </w:r>
    </w:p>
    <w:p>
      <w:pPr>
        <w:widowControl/>
        <w:shd w:val="clear" w:color="auto" w:fill="FFFFFF"/>
        <w:spacing w:line="450" w:lineRule="atLeast"/>
        <w:jc w:val="center"/>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动物卫生监督所2018</w:t>
      </w:r>
      <w:r>
        <w:rPr>
          <w:rFonts w:hint="eastAsia" w:ascii="仿宋_GB2312" w:hAnsi="仿宋_GB2312" w:eastAsia="仿宋_GB2312" w:cs="仿宋_GB2312"/>
          <w:b/>
          <w:bCs/>
          <w:color w:val="auto"/>
          <w:sz w:val="32"/>
          <w:szCs w:val="32"/>
        </w:rPr>
        <w:t>年度部门预算情况说明</w:t>
      </w:r>
    </w:p>
    <w:p>
      <w:pPr>
        <w:adjustRightInd w:val="0"/>
        <w:snapToGrid w:val="0"/>
        <w:spacing w:line="360" w:lineRule="auto"/>
        <w:ind w:firstLine="624" w:firstLineChars="200"/>
        <w:outlineLvl w:val="0"/>
        <w:rPr>
          <w:rFonts w:hint="eastAsia" w:ascii="仿宋_GB2312" w:hAnsi="仿宋_GB2312" w:eastAsia="仿宋_GB2312" w:cs="仿宋_GB2312"/>
          <w:color w:val="auto"/>
          <w:sz w:val="32"/>
          <w:szCs w:val="32"/>
        </w:rPr>
      </w:pPr>
    </w:p>
    <w:p>
      <w:pPr>
        <w:adjustRightInd w:val="0"/>
        <w:snapToGrid w:val="0"/>
        <w:spacing w:line="360" w:lineRule="auto"/>
        <w:ind w:firstLine="624"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一、收入支出预算总体情况说明</w:t>
      </w:r>
    </w:p>
    <w:p>
      <w:pPr>
        <w:adjustRightInd w:val="0"/>
        <w:snapToGrid w:val="0"/>
        <w:spacing w:line="360" w:lineRule="auto"/>
        <w:ind w:firstLine="624"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动物卫生监督所</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年收入</w:t>
      </w:r>
      <w:r>
        <w:rPr>
          <w:rFonts w:hint="eastAsia" w:ascii="仿宋_GB2312" w:hAnsi="仿宋_GB2312" w:eastAsia="仿宋_GB2312" w:cs="仿宋_GB2312"/>
          <w:color w:val="auto"/>
          <w:sz w:val="32"/>
          <w:szCs w:val="32"/>
          <w:highlight w:val="none"/>
          <w:lang w:val="en-US" w:eastAsia="zh-CN"/>
        </w:rPr>
        <w:t>118.84</w:t>
      </w:r>
      <w:r>
        <w:rPr>
          <w:rFonts w:hint="eastAsia" w:ascii="仿宋_GB2312" w:hAnsi="仿宋_GB2312" w:eastAsia="仿宋_GB2312" w:cs="仿宋_GB2312"/>
          <w:color w:val="auto"/>
          <w:sz w:val="32"/>
          <w:szCs w:val="32"/>
          <w:highlight w:val="none"/>
        </w:rPr>
        <w:t>万元，支出总计</w:t>
      </w:r>
      <w:r>
        <w:rPr>
          <w:rFonts w:hint="eastAsia" w:ascii="仿宋_GB2312" w:hAnsi="仿宋_GB2312" w:eastAsia="仿宋_GB2312" w:cs="仿宋_GB2312"/>
          <w:color w:val="auto"/>
          <w:sz w:val="32"/>
          <w:szCs w:val="32"/>
          <w:highlight w:val="none"/>
          <w:lang w:val="en-US" w:eastAsia="zh-CN"/>
        </w:rPr>
        <w:t>118.84</w:t>
      </w:r>
      <w:r>
        <w:rPr>
          <w:rFonts w:hint="eastAsia" w:ascii="仿宋_GB2312" w:hAnsi="仿宋_GB2312" w:eastAsia="仿宋_GB2312" w:cs="仿宋_GB2312"/>
          <w:color w:val="auto"/>
          <w:sz w:val="32"/>
          <w:szCs w:val="32"/>
          <w:highlight w:val="none"/>
        </w:rPr>
        <w:t>万元，与201</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年相比，收、支总计各增加</w:t>
      </w:r>
      <w:r>
        <w:rPr>
          <w:rFonts w:hint="eastAsia" w:ascii="仿宋_GB2312" w:hAnsi="仿宋_GB2312" w:eastAsia="仿宋_GB2312" w:cs="仿宋_GB2312"/>
          <w:color w:val="auto"/>
          <w:sz w:val="32"/>
          <w:szCs w:val="32"/>
          <w:highlight w:val="none"/>
          <w:lang w:val="en-US" w:eastAsia="zh-CN"/>
        </w:rPr>
        <w:t>13.33</w:t>
      </w:r>
      <w:r>
        <w:rPr>
          <w:rFonts w:hint="eastAsia" w:ascii="仿宋_GB2312" w:hAnsi="仿宋_GB2312" w:eastAsia="仿宋_GB2312" w:cs="仿宋_GB2312"/>
          <w:color w:val="auto"/>
          <w:sz w:val="32"/>
          <w:szCs w:val="32"/>
          <w:highlight w:val="none"/>
        </w:rPr>
        <w:t>万</w:t>
      </w:r>
      <w:r>
        <w:rPr>
          <w:rFonts w:hint="eastAsia" w:ascii="仿宋_GB2312" w:hAnsi="仿宋_GB2312" w:eastAsia="仿宋_GB2312" w:cs="仿宋_GB2312"/>
          <w:color w:val="auto"/>
          <w:sz w:val="32"/>
          <w:szCs w:val="32"/>
        </w:rPr>
        <w:t>元，增长</w:t>
      </w:r>
      <w:r>
        <w:rPr>
          <w:rFonts w:hint="eastAsia" w:ascii="仿宋_GB2312" w:hAnsi="仿宋_GB2312" w:eastAsia="仿宋_GB2312" w:cs="仿宋_GB2312"/>
          <w:color w:val="auto"/>
          <w:sz w:val="32"/>
          <w:szCs w:val="32"/>
          <w:highlight w:val="none"/>
          <w:lang w:val="en-US" w:eastAsia="zh-CN"/>
        </w:rPr>
        <w:t>12.63</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。主要原因：</w:t>
      </w:r>
      <w:r>
        <w:rPr>
          <w:rFonts w:hint="eastAsia" w:ascii="仿宋_GB2312" w:hAnsi="仿宋_GB2312" w:eastAsia="仿宋_GB2312" w:cs="仿宋_GB2312"/>
          <w:color w:val="auto"/>
          <w:sz w:val="32"/>
          <w:szCs w:val="32"/>
          <w:lang w:val="en-US" w:eastAsia="zh-CN"/>
        </w:rPr>
        <w:t>人员经费增加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二、收入预算总体情况说明</w:t>
      </w:r>
    </w:p>
    <w:p>
      <w:pPr>
        <w:widowControl/>
        <w:shd w:val="clear" w:color="auto" w:fill="FFFFFF"/>
        <w:spacing w:line="360" w:lineRule="auto"/>
        <w:ind w:firstLine="64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动物卫生监督所部门</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年收入合计</w:t>
      </w:r>
      <w:r>
        <w:rPr>
          <w:rFonts w:hint="eastAsia" w:ascii="仿宋_GB2312" w:hAnsi="仿宋_GB2312" w:eastAsia="仿宋_GB2312" w:cs="仿宋_GB2312"/>
          <w:color w:val="auto"/>
          <w:sz w:val="32"/>
          <w:szCs w:val="32"/>
          <w:highlight w:val="none"/>
          <w:lang w:val="en-US" w:eastAsia="zh-CN"/>
        </w:rPr>
        <w:t>118.84</w:t>
      </w:r>
      <w:r>
        <w:rPr>
          <w:rFonts w:hint="eastAsia" w:ascii="仿宋_GB2312" w:hAnsi="仿宋_GB2312" w:eastAsia="仿宋_GB2312" w:cs="仿宋_GB2312"/>
          <w:color w:val="auto"/>
          <w:sz w:val="32"/>
          <w:szCs w:val="32"/>
        </w:rPr>
        <w:t>万元，其中：一般公共预算</w:t>
      </w:r>
      <w:r>
        <w:rPr>
          <w:rFonts w:hint="eastAsia" w:ascii="仿宋_GB2312" w:hAnsi="仿宋_GB2312" w:eastAsia="仿宋_GB2312" w:cs="仿宋_GB2312"/>
          <w:color w:val="auto"/>
          <w:sz w:val="32"/>
          <w:szCs w:val="32"/>
          <w:lang w:eastAsia="zh-CN"/>
        </w:rPr>
        <w:t>收入</w:t>
      </w:r>
      <w:r>
        <w:rPr>
          <w:rFonts w:hint="eastAsia" w:ascii="仿宋_GB2312" w:hAnsi="仿宋_GB2312" w:eastAsia="仿宋_GB2312" w:cs="仿宋_GB2312"/>
          <w:color w:val="auto"/>
          <w:sz w:val="32"/>
          <w:szCs w:val="32"/>
          <w:highlight w:val="none"/>
          <w:lang w:val="en-US" w:eastAsia="zh-CN"/>
        </w:rPr>
        <w:t>118.84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政府性基金预算收入0万元；国有资本经营预算收入0万元；其他收入0万元。</w:t>
      </w:r>
      <w:r>
        <w:rPr>
          <w:rFonts w:hint="eastAsia" w:ascii="仿宋" w:hAnsi="仿宋" w:eastAsia="仿宋" w:cs="仿宋"/>
          <w:color w:val="auto"/>
          <w:sz w:val="32"/>
          <w:szCs w:val="32"/>
        </w:rPr>
        <w:t xml:space="preserve"> </w:t>
      </w:r>
      <w:r>
        <w:rPr>
          <w:rFonts w:hint="eastAsia" w:ascii="仿宋_GB2312" w:hAnsi="仿宋_GB2312" w:eastAsia="仿宋_GB2312" w:cs="仿宋_GB2312"/>
          <w:color w:val="auto"/>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三、支出预算总体情况说明</w:t>
      </w:r>
    </w:p>
    <w:p>
      <w:pPr>
        <w:spacing w:line="560" w:lineRule="exact"/>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动物卫生监督所</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年支出合计</w:t>
      </w:r>
      <w:r>
        <w:rPr>
          <w:rFonts w:hint="eastAsia" w:ascii="仿宋_GB2312" w:hAnsi="仿宋_GB2312" w:eastAsia="仿宋_GB2312" w:cs="仿宋_GB2312"/>
          <w:color w:val="auto"/>
          <w:sz w:val="32"/>
          <w:szCs w:val="32"/>
          <w:lang w:val="en-US" w:eastAsia="zh-CN"/>
        </w:rPr>
        <w:t>118.84</w:t>
      </w:r>
      <w:r>
        <w:rPr>
          <w:rFonts w:hint="eastAsia" w:ascii="仿宋_GB2312" w:hAnsi="仿宋_GB2312" w:eastAsia="仿宋_GB2312" w:cs="仿宋_GB2312"/>
          <w:color w:val="auto"/>
          <w:sz w:val="32"/>
          <w:szCs w:val="32"/>
        </w:rPr>
        <w:t>万元，其中：基本支出</w:t>
      </w:r>
      <w:r>
        <w:rPr>
          <w:rFonts w:hint="eastAsia" w:ascii="仿宋_GB2312" w:hAnsi="仿宋_GB2312" w:eastAsia="仿宋_GB2312" w:cs="仿宋_GB2312"/>
          <w:color w:val="auto"/>
          <w:sz w:val="32"/>
          <w:szCs w:val="32"/>
          <w:lang w:val="en-US" w:eastAsia="zh-CN"/>
        </w:rPr>
        <w:t>111.84</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94.1%</w:t>
      </w:r>
      <w:r>
        <w:rPr>
          <w:rFonts w:hint="eastAsia" w:ascii="仿宋_GB2312" w:hAnsi="仿宋_GB2312" w:eastAsia="仿宋_GB2312" w:cs="仿宋_GB2312"/>
          <w:color w:val="auto"/>
          <w:sz w:val="32"/>
          <w:szCs w:val="32"/>
        </w:rPr>
        <w:t>；项目支出</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万元，占</w:t>
      </w:r>
      <w:r>
        <w:rPr>
          <w:rFonts w:hint="eastAsia" w:ascii="仿宋_GB2312" w:hAnsi="仿宋_GB2312" w:eastAsia="仿宋_GB2312" w:cs="仿宋_GB2312"/>
          <w:color w:val="auto"/>
          <w:sz w:val="32"/>
          <w:szCs w:val="32"/>
          <w:lang w:val="en-US" w:eastAsia="zh-CN"/>
        </w:rPr>
        <w:t>5.9%</w:t>
      </w:r>
      <w:r>
        <w:rPr>
          <w:rFonts w:hint="eastAsia" w:ascii="仿宋_GB2312" w:hAnsi="仿宋_GB2312" w:eastAsia="仿宋_GB2312" w:cs="仿宋_GB2312"/>
          <w:color w:val="auto"/>
          <w:sz w:val="32"/>
          <w:szCs w:val="32"/>
        </w:rPr>
        <w:t>。</w:t>
      </w:r>
    </w:p>
    <w:p>
      <w:pPr>
        <w:spacing w:line="560" w:lineRule="exact"/>
        <w:ind w:firstLine="624"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四、财政拨款收入支出预算总体情况说明</w:t>
      </w:r>
    </w:p>
    <w:p>
      <w:pPr>
        <w:spacing w:line="560" w:lineRule="exact"/>
        <w:ind w:firstLine="624"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动物卫生监督所</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年一般公共预算收支预算</w:t>
      </w:r>
      <w:r>
        <w:rPr>
          <w:rFonts w:hint="eastAsia" w:ascii="仿宋_GB2312" w:hAnsi="仿宋_GB2312" w:eastAsia="仿宋_GB2312" w:cs="仿宋_GB2312"/>
          <w:color w:val="auto"/>
          <w:sz w:val="32"/>
          <w:szCs w:val="32"/>
          <w:lang w:val="en-US" w:eastAsia="zh-CN"/>
        </w:rPr>
        <w:t>118.84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政府性基金收支预算</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万元，</w:t>
      </w:r>
      <w:r>
        <w:rPr>
          <w:rFonts w:hint="eastAsia" w:ascii="仿宋_GB2312" w:hAnsi="仿宋_GB2312" w:eastAsia="仿宋_GB2312" w:cs="仿宋_GB2312"/>
          <w:color w:val="auto"/>
          <w:sz w:val="32"/>
          <w:szCs w:val="32"/>
        </w:rPr>
        <w:t xml:space="preserve">与 </w:t>
      </w:r>
      <w:r>
        <w:rPr>
          <w:rFonts w:hint="eastAsia" w:ascii="仿宋_GB2312" w:hAnsi="仿宋_GB2312" w:eastAsia="仿宋_GB2312" w:cs="仿宋_GB2312"/>
          <w:color w:val="auto"/>
          <w:sz w:val="32"/>
          <w:szCs w:val="32"/>
          <w:lang w:val="en-US" w:eastAsia="zh-CN"/>
        </w:rPr>
        <w:t>2017</w:t>
      </w:r>
      <w:r>
        <w:rPr>
          <w:rFonts w:hint="eastAsia" w:ascii="仿宋_GB2312" w:hAnsi="仿宋_GB2312" w:eastAsia="仿宋_GB2312" w:cs="仿宋_GB2312"/>
          <w:color w:val="auto"/>
          <w:sz w:val="32"/>
          <w:szCs w:val="32"/>
        </w:rPr>
        <w:t>年相比，一般公共预算收支预算增加</w:t>
      </w:r>
      <w:r>
        <w:rPr>
          <w:rFonts w:hint="eastAsia" w:ascii="仿宋_GB2312" w:hAnsi="仿宋_GB2312" w:eastAsia="仿宋_GB2312" w:cs="仿宋_GB2312"/>
          <w:color w:val="auto"/>
          <w:sz w:val="32"/>
          <w:szCs w:val="32"/>
          <w:lang w:val="en-US" w:eastAsia="zh-CN"/>
        </w:rPr>
        <w:t>13.33</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11.2%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主要原因：</w:t>
      </w:r>
      <w:r>
        <w:rPr>
          <w:rFonts w:hint="eastAsia" w:ascii="仿宋_GB2312" w:hAnsi="仿宋_GB2312" w:eastAsia="仿宋_GB2312" w:cs="仿宋_GB2312"/>
          <w:color w:val="auto"/>
          <w:sz w:val="32"/>
          <w:szCs w:val="32"/>
        </w:rPr>
        <w:t>人员经费增加</w:t>
      </w:r>
      <w:r>
        <w:rPr>
          <w:rFonts w:hint="eastAsia" w:ascii="仿宋_GB2312" w:hAnsi="仿宋_GB2312" w:eastAsia="仿宋_GB2312" w:cs="仿宋_GB2312"/>
          <w:color w:val="auto"/>
          <w:sz w:val="32"/>
          <w:szCs w:val="32"/>
          <w:lang w:eastAsia="zh-CN"/>
        </w:rPr>
        <w:t>。无政府性基金预算。</w:t>
      </w:r>
    </w:p>
    <w:p>
      <w:pPr>
        <w:spacing w:line="560" w:lineRule="exact"/>
        <w:ind w:firstLine="624"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五、一般公共预算支出预算情况说明</w:t>
      </w:r>
    </w:p>
    <w:p>
      <w:pPr>
        <w:widowControl/>
        <w:ind w:firstLine="622"/>
        <w:jc w:val="lef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highlight w:val="none"/>
          <w:lang w:val="en-US" w:eastAsia="zh-CN"/>
        </w:rPr>
        <w:t>动物卫生监督所</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年一般公共预算支出年初预算为</w:t>
      </w:r>
      <w:r>
        <w:rPr>
          <w:rFonts w:hint="eastAsia" w:ascii="仿宋_GB2312" w:hAnsi="仿宋_GB2312" w:eastAsia="仿宋_GB2312" w:cs="仿宋_GB2312"/>
          <w:color w:val="auto"/>
          <w:sz w:val="32"/>
          <w:szCs w:val="32"/>
          <w:lang w:val="en-US" w:eastAsia="zh-CN"/>
        </w:rPr>
        <w:t>118.84</w:t>
      </w:r>
      <w:r>
        <w:rPr>
          <w:rFonts w:hint="eastAsia" w:ascii="仿宋_GB2312" w:hAnsi="仿宋_GB2312" w:eastAsia="仿宋_GB2312" w:cs="仿宋_GB2312"/>
          <w:color w:val="auto"/>
          <w:sz w:val="32"/>
          <w:szCs w:val="32"/>
        </w:rPr>
        <w:t>万元。主要用于以下方面：</w:t>
      </w:r>
      <w:r>
        <w:rPr>
          <w:rFonts w:hint="eastAsia" w:ascii="仿宋_GB2312" w:hAnsi="仿宋_GB2312" w:eastAsia="仿宋_GB2312" w:cs="仿宋_GB2312"/>
          <w:color w:val="auto"/>
          <w:kern w:val="0"/>
          <w:sz w:val="32"/>
          <w:szCs w:val="32"/>
        </w:rPr>
        <w:t>农林水支出</w:t>
      </w:r>
      <w:r>
        <w:rPr>
          <w:rFonts w:hint="eastAsia" w:ascii="仿宋_GB2312" w:hAnsi="仿宋_GB2312" w:eastAsia="仿宋_GB2312" w:cs="仿宋_GB2312"/>
          <w:color w:val="auto"/>
          <w:kern w:val="0"/>
          <w:sz w:val="32"/>
          <w:szCs w:val="32"/>
          <w:lang w:val="en-US" w:eastAsia="zh-CN"/>
        </w:rPr>
        <w:t>118.84</w:t>
      </w:r>
      <w:r>
        <w:rPr>
          <w:rFonts w:hint="eastAsia" w:ascii="仿宋_GB2312" w:hAnsi="仿宋_GB2312" w:eastAsia="仿宋_GB2312" w:cs="仿宋_GB2312"/>
          <w:color w:val="auto"/>
          <w:kern w:val="0"/>
          <w:sz w:val="32"/>
          <w:szCs w:val="32"/>
        </w:rPr>
        <w:t>万元</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占</w:t>
      </w:r>
      <w:r>
        <w:rPr>
          <w:rFonts w:hint="eastAsia" w:ascii="仿宋_GB2312" w:hAnsi="仿宋_GB2312" w:eastAsia="仿宋_GB2312" w:cs="仿宋_GB2312"/>
          <w:color w:val="auto"/>
          <w:kern w:val="0"/>
          <w:sz w:val="32"/>
          <w:szCs w:val="32"/>
          <w:lang w:val="en-US" w:eastAsia="zh-CN"/>
        </w:rPr>
        <w:t>100</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w:t>
      </w:r>
    </w:p>
    <w:p>
      <w:pPr>
        <w:spacing w:line="560" w:lineRule="exact"/>
        <w:ind w:firstLine="624"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六、一般公共预算基本支出预算情况说明</w:t>
      </w:r>
    </w:p>
    <w:p>
      <w:pPr>
        <w:widowControl/>
        <w:ind w:firstLine="622"/>
        <w:jc w:val="left"/>
        <w:rPr>
          <w:rFonts w:hint="eastAsia" w:ascii="仿宋_GB2312" w:hAnsi="仿宋_GB2312" w:eastAsia="仿宋_GB2312" w:cs="仿宋_GB2312"/>
          <w:color w:val="auto"/>
          <w:kern w:val="0"/>
          <w:sz w:val="32"/>
          <w:szCs w:val="32"/>
          <w:highlight w:val="yellow"/>
          <w:u w:val="none"/>
        </w:rPr>
      </w:pPr>
      <w:r>
        <w:rPr>
          <w:rFonts w:hint="eastAsia" w:ascii="仿宋_GB2312" w:hAnsi="仿宋_GB2312" w:eastAsia="仿宋_GB2312" w:cs="仿宋_GB2312"/>
          <w:color w:val="auto"/>
          <w:sz w:val="32"/>
          <w:szCs w:val="32"/>
          <w:lang w:val="en-US" w:eastAsia="zh-CN"/>
        </w:rPr>
        <w:t>动物卫生监督所</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年一般公共预算基本支出</w:t>
      </w:r>
      <w:r>
        <w:rPr>
          <w:rFonts w:hint="eastAsia" w:ascii="仿宋_GB2312" w:hAnsi="仿宋_GB2312" w:eastAsia="仿宋_GB2312" w:cs="仿宋_GB2312"/>
          <w:color w:val="auto"/>
          <w:kern w:val="0"/>
          <w:sz w:val="32"/>
          <w:szCs w:val="32"/>
          <w:lang w:val="en-US" w:eastAsia="zh-CN"/>
        </w:rPr>
        <w:t>111.84</w:t>
      </w:r>
      <w:r>
        <w:rPr>
          <w:rFonts w:hint="eastAsia" w:ascii="仿宋_GB2312" w:hAnsi="仿宋_GB2312" w:eastAsia="仿宋_GB2312" w:cs="仿宋_GB2312"/>
          <w:color w:val="auto"/>
          <w:sz w:val="32"/>
          <w:szCs w:val="32"/>
        </w:rPr>
        <w:t>万元，其中：</w:t>
      </w:r>
      <w:r>
        <w:rPr>
          <w:rFonts w:hint="eastAsia" w:ascii="仿宋_GB2312" w:hAnsi="仿宋_GB2312" w:eastAsia="仿宋_GB2312" w:cs="仿宋_GB2312"/>
          <w:b/>
          <w:bCs w:val="0"/>
          <w:color w:val="auto"/>
          <w:spacing w:val="-1"/>
          <w:kern w:val="0"/>
          <w:sz w:val="32"/>
          <w:szCs w:val="32"/>
        </w:rPr>
        <w:t>人员经费</w:t>
      </w:r>
      <w:r>
        <w:rPr>
          <w:rFonts w:hint="eastAsia" w:ascii="仿宋_GB2312" w:hAnsi="仿宋_GB2312" w:eastAsia="仿宋_GB2312" w:cs="仿宋_GB2312"/>
          <w:b/>
          <w:bCs w:val="0"/>
          <w:color w:val="auto"/>
          <w:kern w:val="0"/>
          <w:sz w:val="32"/>
          <w:szCs w:val="32"/>
          <w:lang w:val="en-US" w:eastAsia="zh-CN"/>
        </w:rPr>
        <w:t>107.78</w:t>
      </w:r>
      <w:r>
        <w:rPr>
          <w:rFonts w:hint="eastAsia" w:ascii="仿宋_GB2312" w:hAnsi="仿宋_GB2312" w:eastAsia="仿宋_GB2312" w:cs="仿宋_GB2312"/>
          <w:b/>
          <w:bCs w:val="0"/>
          <w:color w:val="auto"/>
          <w:sz w:val="32"/>
          <w:szCs w:val="32"/>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rPr>
        <w:t>基本工资、津贴补贴、奖金、绩效工资、机关事业单位基本养老保险缴费、职业年金缴费、医疗保险缴费、其他社会保障缴费、住房公积金、</w:t>
      </w:r>
      <w:r>
        <w:rPr>
          <w:rFonts w:hint="eastAsia" w:ascii="仿宋" w:hAnsi="仿宋" w:eastAsia="仿宋" w:cs="仿宋"/>
          <w:color w:val="auto"/>
          <w:kern w:val="0"/>
          <w:sz w:val="32"/>
          <w:szCs w:val="32"/>
        </w:rPr>
        <w:t>其他工资福利支出、离休费、退休费、其他对个人和家庭的补助支出；</w:t>
      </w:r>
      <w:r>
        <w:rPr>
          <w:rFonts w:hint="eastAsia" w:ascii="仿宋_GB2312" w:hAnsi="仿宋_GB2312" w:eastAsia="仿宋_GB2312" w:cs="仿宋_GB2312"/>
          <w:b/>
          <w:bCs/>
          <w:color w:val="auto"/>
          <w:kern w:val="0"/>
          <w:sz w:val="32"/>
          <w:szCs w:val="32"/>
        </w:rPr>
        <w:t>公用经费</w:t>
      </w:r>
      <w:r>
        <w:rPr>
          <w:rFonts w:hint="eastAsia" w:ascii="仿宋_GB2312" w:hAnsi="仿宋_GB2312" w:eastAsia="仿宋_GB2312" w:cs="仿宋_GB2312"/>
          <w:b/>
          <w:bCs/>
          <w:color w:val="auto"/>
          <w:kern w:val="0"/>
          <w:sz w:val="32"/>
          <w:szCs w:val="32"/>
          <w:lang w:val="en-US" w:eastAsia="zh-CN"/>
        </w:rPr>
        <w:t>4.06</w:t>
      </w:r>
      <w:r>
        <w:rPr>
          <w:rFonts w:hint="eastAsia" w:ascii="仿宋_GB2312" w:hAnsi="仿宋_GB2312" w:eastAsia="仿宋_GB2312" w:cs="仿宋_GB2312"/>
          <w:b/>
          <w:bCs/>
          <w:color w:val="auto"/>
          <w:kern w:val="0"/>
          <w:sz w:val="32"/>
          <w:szCs w:val="32"/>
        </w:rPr>
        <w:t>万元</w:t>
      </w:r>
      <w:r>
        <w:rPr>
          <w:rFonts w:hint="eastAsia" w:ascii="仿宋_GB2312" w:hAnsi="仿宋_GB2312" w:eastAsia="仿宋_GB2312" w:cs="仿宋_GB2312"/>
          <w:color w:val="auto"/>
          <w:kern w:val="0"/>
          <w:sz w:val="32"/>
          <w:szCs w:val="32"/>
        </w:rPr>
        <w:t>，主要包括：</w:t>
      </w:r>
      <w:r>
        <w:rPr>
          <w:rFonts w:hint="eastAsia" w:ascii="仿宋" w:hAnsi="仿宋" w:eastAsia="仿宋" w:cs="仿宋"/>
          <w:color w:val="auto"/>
          <w:kern w:val="0"/>
          <w:sz w:val="32"/>
          <w:szCs w:val="32"/>
        </w:rPr>
        <w:t>办公费、印刷费、水费、电费、邮电费、取暖费、差旅费、维修（护）费、租赁费、会议费、培训费、公务接待费、专用材料费、劳务费、委托业务费、福利费、其他商品和服务支出、办公设备购置、信息网络及软件购置更新。</w:t>
      </w:r>
    </w:p>
    <w:p>
      <w:pPr>
        <w:spacing w:line="560" w:lineRule="exact"/>
        <w:ind w:firstLine="624"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eastAsia="zh-CN"/>
        </w:rPr>
        <w:t>七、</w:t>
      </w:r>
      <w:r>
        <w:rPr>
          <w:rFonts w:hint="eastAsia" w:ascii="仿宋_GB2312" w:hAnsi="仿宋_GB2312" w:eastAsia="仿宋_GB2312" w:cs="仿宋_GB2312"/>
          <w:color w:val="auto"/>
          <w:kern w:val="0"/>
          <w:sz w:val="32"/>
          <w:szCs w:val="32"/>
        </w:rPr>
        <w:t>政府性基金预算支出</w:t>
      </w:r>
      <w:r>
        <w:rPr>
          <w:rFonts w:hint="eastAsia" w:ascii="仿宋_GB2312" w:hAnsi="仿宋_GB2312" w:eastAsia="仿宋_GB2312" w:cs="仿宋_GB2312"/>
          <w:color w:val="auto"/>
          <w:kern w:val="0"/>
          <w:sz w:val="32"/>
          <w:szCs w:val="32"/>
          <w:lang w:eastAsia="zh-CN"/>
        </w:rPr>
        <w:t>预算</w:t>
      </w:r>
      <w:r>
        <w:rPr>
          <w:rFonts w:hint="eastAsia" w:ascii="仿宋_GB2312" w:hAnsi="仿宋_GB2312" w:eastAsia="仿宋_GB2312" w:cs="仿宋_GB2312"/>
          <w:color w:val="auto"/>
          <w:kern w:val="0"/>
          <w:sz w:val="32"/>
          <w:szCs w:val="32"/>
        </w:rPr>
        <w:t>情况说明</w:t>
      </w:r>
    </w:p>
    <w:p>
      <w:pPr>
        <w:widowControl w:val="0"/>
        <w:wordWrap/>
        <w:adjustRightInd/>
        <w:snapToGrid/>
        <w:spacing w:before="0" w:after="0" w:line="560" w:lineRule="exact"/>
        <w:ind w:left="0" w:leftChars="0" w:right="0" w:firstLine="624" w:firstLineChars="200"/>
        <w:jc w:val="both"/>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我单位2018年没有使用政府性基金预算拨款安排的支出。</w:t>
      </w:r>
    </w:p>
    <w:p>
      <w:pPr>
        <w:widowControl w:val="0"/>
        <w:numPr>
          <w:ilvl w:val="0"/>
          <w:numId w:val="5"/>
        </w:numPr>
        <w:wordWrap/>
        <w:adjustRightInd/>
        <w:snapToGrid/>
        <w:spacing w:before="0" w:after="0" w:line="560" w:lineRule="exact"/>
        <w:ind w:left="0" w:leftChars="0" w:right="0" w:firstLine="624" w:firstLineChars="200"/>
        <w:jc w:val="both"/>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eastAsia="zh-CN"/>
        </w:rPr>
        <w:t>国有资本经营</w:t>
      </w:r>
      <w:r>
        <w:rPr>
          <w:rFonts w:hint="eastAsia" w:ascii="仿宋_GB2312" w:hAnsi="仿宋_GB2312" w:eastAsia="仿宋_GB2312" w:cs="仿宋_GB2312"/>
          <w:color w:val="auto"/>
          <w:kern w:val="0"/>
          <w:sz w:val="32"/>
          <w:szCs w:val="32"/>
        </w:rPr>
        <w:t>预算支出</w:t>
      </w:r>
      <w:r>
        <w:rPr>
          <w:rFonts w:hint="eastAsia" w:ascii="仿宋_GB2312" w:hAnsi="仿宋_GB2312" w:eastAsia="仿宋_GB2312" w:cs="仿宋_GB2312"/>
          <w:color w:val="auto"/>
          <w:kern w:val="0"/>
          <w:sz w:val="32"/>
          <w:szCs w:val="32"/>
          <w:lang w:eastAsia="zh-CN"/>
        </w:rPr>
        <w:t>预</w:t>
      </w:r>
      <w:r>
        <w:rPr>
          <w:rFonts w:hint="eastAsia" w:ascii="仿宋_GB2312" w:hAnsi="仿宋_GB2312" w:eastAsia="仿宋_GB2312" w:cs="仿宋_GB2312"/>
          <w:color w:val="auto"/>
          <w:kern w:val="0"/>
          <w:sz w:val="32"/>
          <w:szCs w:val="32"/>
        </w:rPr>
        <w:t>算情况说明</w:t>
      </w:r>
    </w:p>
    <w:p>
      <w:pPr>
        <w:spacing w:line="560" w:lineRule="exact"/>
        <w:ind w:firstLine="624"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我单位201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eastAsia="zh-CN"/>
        </w:rPr>
        <w:t>年没有使用国有资本经营预算拨款安排的支出。</w:t>
      </w:r>
    </w:p>
    <w:p>
      <w:pPr>
        <w:numPr>
          <w:numId w:val="0"/>
        </w:numPr>
        <w:spacing w:line="560" w:lineRule="exact"/>
        <w:ind w:firstLine="624"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eastAsia="zh-CN"/>
        </w:rPr>
        <w:t>九</w:t>
      </w:r>
      <w:r>
        <w:rPr>
          <w:rFonts w:hint="eastAsia" w:ascii="仿宋_GB2312" w:hAnsi="仿宋_GB2312" w:eastAsia="仿宋_GB2312" w:cs="仿宋_GB2312"/>
          <w:color w:val="auto"/>
          <w:kern w:val="0"/>
          <w:sz w:val="32"/>
          <w:szCs w:val="32"/>
        </w:rPr>
        <w:t>、“三公”经费支出预算情况说明</w:t>
      </w:r>
    </w:p>
    <w:p>
      <w:pPr>
        <w:widowControl/>
        <w:ind w:firstLine="624"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动物卫生监督所部门</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 xml:space="preserve"> 年“三公”经费预算为</w:t>
      </w:r>
      <w:r>
        <w:rPr>
          <w:rFonts w:hint="eastAsia" w:ascii="仿宋_GB2312" w:hAnsi="仿宋_GB2312" w:eastAsia="仿宋_GB2312" w:cs="仿宋_GB2312"/>
          <w:color w:val="auto"/>
          <w:kern w:val="0"/>
          <w:sz w:val="32"/>
          <w:szCs w:val="32"/>
          <w:lang w:val="en-US" w:eastAsia="zh-CN"/>
        </w:rPr>
        <w:t>1.45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比 201</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年预算数</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kern w:val="0"/>
          <w:sz w:val="32"/>
          <w:szCs w:val="32"/>
          <w:lang w:val="en-US" w:eastAsia="zh-CN"/>
        </w:rPr>
        <w:t>0.87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37.5</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color w:val="auto"/>
          <w:sz w:val="32"/>
          <w:szCs w:val="32"/>
        </w:rPr>
        <w:t>。</w:t>
      </w:r>
    </w:p>
    <w:p>
      <w:pPr>
        <w:kinsoku w:val="0"/>
        <w:overflowPunct w:val="0"/>
        <w:autoSpaceDE w:val="0"/>
        <w:autoSpaceDN w:val="0"/>
        <w:adjustRightInd w:val="0"/>
        <w:snapToGrid w:val="0"/>
        <w:spacing w:line="360" w:lineRule="auto"/>
        <w:ind w:firstLine="624" w:firstLineChars="200"/>
        <w:rPr>
          <w:rFonts w:hint="eastAsia" w:ascii="仿宋" w:hAnsi="仿宋" w:eastAsia="仿宋" w:cs="仿宋"/>
          <w:color w:val="auto"/>
          <w:sz w:val="32"/>
          <w:szCs w:val="32"/>
        </w:rPr>
      </w:pPr>
      <w:r>
        <w:rPr>
          <w:rFonts w:hint="eastAsia" w:ascii="仿宋" w:hAnsi="仿宋" w:eastAsia="仿宋" w:cs="仿宋"/>
          <w:color w:val="auto"/>
          <w:sz w:val="32"/>
          <w:szCs w:val="32"/>
        </w:rPr>
        <w:t>具体支出情况如下：</w:t>
      </w:r>
    </w:p>
    <w:p>
      <w:pPr>
        <w:numPr>
          <w:ilvl w:val="0"/>
          <w:numId w:val="6"/>
        </w:numPr>
        <w:kinsoku w:val="0"/>
        <w:overflowPunct w:val="0"/>
        <w:autoSpaceDE w:val="0"/>
        <w:autoSpaceDN w:val="0"/>
        <w:adjustRightInd w:val="0"/>
        <w:snapToGrid w:val="0"/>
        <w:spacing w:line="360" w:lineRule="auto"/>
        <w:ind w:firstLine="620" w:firstLineChars="200"/>
        <w:rPr>
          <w:rFonts w:hint="eastAsia" w:ascii="仿宋" w:hAnsi="仿宋" w:eastAsia="仿宋" w:cs="仿宋"/>
          <w:color w:val="auto"/>
          <w:sz w:val="32"/>
          <w:szCs w:val="32"/>
        </w:rPr>
      </w:pPr>
      <w:r>
        <w:rPr>
          <w:rFonts w:hint="eastAsia" w:ascii="仿宋" w:hAnsi="仿宋" w:eastAsia="仿宋" w:cs="仿宋"/>
          <w:b/>
          <w:color w:val="auto"/>
          <w:spacing w:val="-1"/>
          <w:kern w:val="0"/>
          <w:sz w:val="32"/>
          <w:szCs w:val="32"/>
        </w:rPr>
        <w:t>因公出国（境）费</w:t>
      </w:r>
      <w:r>
        <w:rPr>
          <w:rFonts w:hint="eastAsia" w:ascii="仿宋" w:hAnsi="仿宋" w:eastAsia="仿宋" w:cs="仿宋"/>
          <w:color w:val="auto"/>
          <w:sz w:val="32"/>
          <w:szCs w:val="32"/>
        </w:rPr>
        <w:t xml:space="preserve"> </w:t>
      </w:r>
      <w:r>
        <w:rPr>
          <w:rFonts w:hint="eastAsia" w:ascii="仿宋" w:hAnsi="仿宋" w:eastAsia="仿宋" w:cs="仿宋"/>
          <w:color w:val="auto"/>
          <w:kern w:val="0"/>
          <w:sz w:val="32"/>
          <w:szCs w:val="32"/>
        </w:rPr>
        <w:t>0</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与2017年持平。</w:t>
      </w:r>
    </w:p>
    <w:p>
      <w:pPr>
        <w:numPr>
          <w:ilvl w:val="0"/>
          <w:numId w:val="6"/>
        </w:numPr>
        <w:kinsoku w:val="0"/>
        <w:overflowPunct w:val="0"/>
        <w:autoSpaceDE w:val="0"/>
        <w:autoSpaceDN w:val="0"/>
        <w:adjustRightInd w:val="0"/>
        <w:snapToGrid w:val="0"/>
        <w:spacing w:line="360" w:lineRule="auto"/>
        <w:ind w:left="0" w:leftChars="0" w:firstLine="620" w:firstLineChars="200"/>
        <w:rPr>
          <w:rFonts w:hint="eastAsia" w:ascii="仿宋" w:hAnsi="仿宋" w:eastAsia="仿宋" w:cs="仿宋"/>
          <w:color w:val="auto"/>
          <w:sz w:val="32"/>
          <w:szCs w:val="32"/>
        </w:rPr>
      </w:pPr>
      <w:r>
        <w:rPr>
          <w:rFonts w:hint="eastAsia" w:ascii="仿宋_GB2312" w:hAnsi="仿宋_GB2312" w:eastAsia="仿宋_GB2312" w:cs="仿宋_GB2312"/>
          <w:b/>
          <w:color w:val="auto"/>
          <w:spacing w:val="-1"/>
          <w:kern w:val="0"/>
          <w:sz w:val="32"/>
          <w:szCs w:val="32"/>
        </w:rPr>
        <w:t>公务用车购置及运行费</w:t>
      </w:r>
      <w:r>
        <w:rPr>
          <w:rFonts w:hint="eastAsia" w:ascii="仿宋_GB2312" w:hAnsi="仿宋_GB2312" w:eastAsia="仿宋_GB2312" w:cs="仿宋_GB2312"/>
          <w:color w:val="auto"/>
          <w:kern w:val="0"/>
          <w:sz w:val="32"/>
          <w:szCs w:val="32"/>
          <w:lang w:val="en-US" w:eastAsia="zh-CN"/>
        </w:rPr>
        <w:t>1.33</w:t>
      </w:r>
      <w:r>
        <w:rPr>
          <w:rFonts w:hint="eastAsia" w:ascii="仿宋_GB2312" w:hAnsi="仿宋_GB2312" w:eastAsia="仿宋_GB2312" w:cs="仿宋_GB2312"/>
          <w:color w:val="auto"/>
          <w:kern w:val="0"/>
          <w:sz w:val="32"/>
          <w:szCs w:val="32"/>
        </w:rPr>
        <w:t>万</w:t>
      </w:r>
      <w:r>
        <w:rPr>
          <w:rFonts w:hint="eastAsia" w:ascii="仿宋_GB2312" w:hAnsi="仿宋_GB2312" w:eastAsia="仿宋_GB2312" w:cs="仿宋_GB2312"/>
          <w:color w:val="auto"/>
          <w:sz w:val="32"/>
          <w:szCs w:val="32"/>
        </w:rPr>
        <w:t>元</w:t>
      </w:r>
      <w:r>
        <w:rPr>
          <w:rFonts w:hint="eastAsia" w:ascii="仿宋_GB2312" w:hAnsi="仿宋_GB2312" w:eastAsia="仿宋_GB2312" w:cs="仿宋_GB2312"/>
          <w:color w:val="auto"/>
          <w:sz w:val="32"/>
          <w:szCs w:val="32"/>
          <w:lang w:eastAsia="zh-CN"/>
        </w:rPr>
        <w:t>。其中公务车辆购置费</w:t>
      </w:r>
      <w:r>
        <w:rPr>
          <w:rFonts w:hint="eastAsia" w:ascii="仿宋_GB2312" w:hAnsi="仿宋_GB2312" w:eastAsia="仿宋_GB2312" w:cs="仿宋_GB2312"/>
          <w:color w:val="auto"/>
          <w:kern w:val="0"/>
          <w:sz w:val="32"/>
          <w:szCs w:val="32"/>
          <w:lang w:val="en-US" w:eastAsia="zh-CN"/>
        </w:rPr>
        <w:t>0</w:t>
      </w:r>
      <w:r>
        <w:rPr>
          <w:rFonts w:hint="eastAsia" w:ascii="仿宋_GB2312" w:hAnsi="仿宋_GB2312" w:eastAsia="仿宋_GB2312" w:cs="仿宋_GB2312"/>
          <w:color w:val="auto"/>
          <w:sz w:val="32"/>
          <w:szCs w:val="32"/>
          <w:lang w:val="en-US" w:eastAsia="zh-CN"/>
        </w:rPr>
        <w:t>万元，</w:t>
      </w:r>
      <w:r>
        <w:rPr>
          <w:rFonts w:hint="eastAsia" w:ascii="仿宋" w:hAnsi="仿宋" w:eastAsia="仿宋" w:cs="仿宋"/>
          <w:color w:val="auto"/>
          <w:sz w:val="32"/>
          <w:szCs w:val="32"/>
          <w:lang w:val="en-US" w:eastAsia="zh-CN"/>
        </w:rPr>
        <w:t>与2017年持平；</w:t>
      </w:r>
      <w:r>
        <w:rPr>
          <w:rFonts w:hint="eastAsia" w:ascii="仿宋_GB2312" w:hAnsi="仿宋_GB2312" w:eastAsia="仿宋_GB2312" w:cs="仿宋_GB2312"/>
          <w:color w:val="auto"/>
          <w:sz w:val="32"/>
          <w:szCs w:val="32"/>
        </w:rPr>
        <w:t>公务用车运行维护费</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kern w:val="0"/>
          <w:sz w:val="32"/>
          <w:szCs w:val="32"/>
          <w:lang w:val="en-US" w:eastAsia="zh-CN"/>
        </w:rPr>
        <w:t>1.33</w:t>
      </w:r>
      <w:r>
        <w:rPr>
          <w:rFonts w:hint="eastAsia" w:ascii="仿宋_GB2312" w:hAnsi="仿宋_GB2312" w:eastAsia="仿宋_GB2312" w:cs="仿宋_GB2312"/>
          <w:color w:val="auto"/>
          <w:kern w:val="0"/>
          <w:sz w:val="32"/>
          <w:szCs w:val="32"/>
          <w:lang w:eastAsia="zh-CN"/>
        </w:rPr>
        <w:t>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主要用于</w:t>
      </w:r>
      <w:r>
        <w:rPr>
          <w:rFonts w:hint="eastAsia" w:ascii="仿宋_GB2312" w:hAnsi="仿宋_GB2312" w:eastAsia="仿宋_GB2312" w:cs="仿宋_GB2312"/>
          <w:color w:val="auto"/>
          <w:kern w:val="0"/>
          <w:sz w:val="32"/>
          <w:szCs w:val="32"/>
          <w:lang w:eastAsia="zh-CN"/>
        </w:rPr>
        <w:t>开展业务工作所需燃油费、维修费等</w:t>
      </w:r>
      <w:r>
        <w:rPr>
          <w:rFonts w:hint="eastAsia" w:ascii="仿宋_GB2312" w:hAnsi="仿宋_GB2312" w:eastAsia="仿宋_GB2312" w:cs="仿宋_GB2312"/>
          <w:color w:val="auto"/>
          <w:sz w:val="32"/>
          <w:szCs w:val="32"/>
          <w:lang w:val="en-US" w:eastAsia="zh-CN"/>
        </w:rPr>
        <w:t>,比2017年减少0.18</w:t>
      </w:r>
      <w:r>
        <w:rPr>
          <w:rFonts w:hint="eastAsia" w:ascii="仿宋_GB2312" w:hAnsi="仿宋_GB2312" w:eastAsia="仿宋_GB2312" w:cs="仿宋_GB2312"/>
          <w:color w:val="auto"/>
          <w:kern w:val="0"/>
          <w:sz w:val="32"/>
          <w:szCs w:val="32"/>
          <w:lang w:eastAsia="zh-CN"/>
        </w:rPr>
        <w:t>万元，较上年下降</w:t>
      </w:r>
      <w:r>
        <w:rPr>
          <w:rFonts w:hint="eastAsia" w:ascii="仿宋_GB2312" w:hAnsi="仿宋_GB2312" w:eastAsia="仿宋_GB2312" w:cs="仿宋_GB2312"/>
          <w:color w:val="auto"/>
          <w:kern w:val="0"/>
          <w:sz w:val="32"/>
          <w:szCs w:val="32"/>
          <w:lang w:val="en-US" w:eastAsia="zh-CN"/>
        </w:rPr>
        <w:t>11.9%，主要原因：</w:t>
      </w:r>
      <w:r>
        <w:rPr>
          <w:rFonts w:ascii="仿宋_GB2312" w:hAnsi="宋体" w:eastAsia="仿宋_GB2312" w:cs="仿宋_GB2312"/>
          <w:b w:val="0"/>
          <w:i w:val="0"/>
          <w:caps w:val="0"/>
          <w:color w:val="auto"/>
          <w:spacing w:val="0"/>
          <w:sz w:val="32"/>
          <w:szCs w:val="32"/>
          <w:shd w:val="clear" w:color="080000" w:fill="FFFFFF"/>
        </w:rPr>
        <w:t>加强车辆管理、</w:t>
      </w:r>
      <w:r>
        <w:rPr>
          <w:rFonts w:hint="eastAsia" w:ascii="仿宋_GB2312" w:hAnsi="宋体" w:eastAsia="仿宋_GB2312" w:cs="仿宋_GB2312"/>
          <w:b w:val="0"/>
          <w:i w:val="0"/>
          <w:caps w:val="0"/>
          <w:color w:val="auto"/>
          <w:spacing w:val="0"/>
          <w:sz w:val="32"/>
          <w:szCs w:val="32"/>
          <w:shd w:val="clear" w:color="080000" w:fill="FFFFFF"/>
          <w:lang w:eastAsia="zh-CN"/>
        </w:rPr>
        <w:t>严格</w:t>
      </w:r>
      <w:r>
        <w:rPr>
          <w:rFonts w:ascii="仿宋_GB2312" w:hAnsi="宋体" w:eastAsia="仿宋_GB2312" w:cs="仿宋_GB2312"/>
          <w:b w:val="0"/>
          <w:i w:val="0"/>
          <w:caps w:val="0"/>
          <w:color w:val="auto"/>
          <w:spacing w:val="0"/>
          <w:sz w:val="32"/>
          <w:szCs w:val="32"/>
          <w:shd w:val="clear" w:color="080000" w:fill="FFFFFF"/>
        </w:rPr>
        <w:t>控制车辆使用</w:t>
      </w:r>
      <w:r>
        <w:rPr>
          <w:rFonts w:hint="eastAsia" w:ascii="仿宋_GB2312" w:hAnsi="仿宋_GB2312" w:eastAsia="仿宋_GB2312" w:cs="仿宋_GB2312"/>
          <w:color w:val="auto"/>
          <w:kern w:val="0"/>
          <w:sz w:val="32"/>
          <w:szCs w:val="32"/>
          <w:lang w:eastAsia="zh-CN"/>
        </w:rPr>
        <w:t>。</w:t>
      </w:r>
    </w:p>
    <w:p>
      <w:pPr>
        <w:spacing w:line="360" w:lineRule="auto"/>
        <w:ind w:firstLine="620" w:firstLineChars="200"/>
        <w:outlineLvl w:val="0"/>
        <w:rPr>
          <w:rFonts w:hint="eastAsia" w:ascii="仿宋_GB2312" w:hAnsi="仿宋_GB2312" w:eastAsia="仿宋_GB2312" w:cs="仿宋_GB2312"/>
          <w:color w:val="auto"/>
          <w:sz w:val="32"/>
          <w:szCs w:val="32"/>
          <w:lang w:eastAsia="zh-CN"/>
        </w:rPr>
      </w:pPr>
      <w:r>
        <w:rPr>
          <w:rFonts w:hint="eastAsia" w:ascii="仿宋" w:hAnsi="仿宋" w:eastAsia="仿宋" w:cs="仿宋"/>
          <w:b/>
          <w:color w:val="auto"/>
          <w:spacing w:val="-1"/>
          <w:kern w:val="0"/>
          <w:sz w:val="32"/>
          <w:szCs w:val="32"/>
          <w:highlight w:val="none"/>
        </w:rPr>
        <w:t>（三）公务接待费</w:t>
      </w:r>
      <w:r>
        <w:rPr>
          <w:rFonts w:hint="eastAsia" w:ascii="仿宋" w:hAnsi="仿宋" w:eastAsia="仿宋" w:cs="仿宋"/>
          <w:color w:val="auto"/>
          <w:kern w:val="0"/>
          <w:sz w:val="32"/>
          <w:szCs w:val="32"/>
          <w:highlight w:val="none"/>
          <w:lang w:val="en-US" w:eastAsia="zh-CN"/>
        </w:rPr>
        <w:t>0.12</w:t>
      </w:r>
      <w:r>
        <w:rPr>
          <w:rFonts w:hint="eastAsia" w:ascii="仿宋" w:hAnsi="仿宋" w:eastAsia="仿宋" w:cs="仿宋"/>
          <w:color w:val="auto"/>
          <w:sz w:val="32"/>
          <w:szCs w:val="32"/>
          <w:highlight w:val="none"/>
        </w:rPr>
        <w:t>万元</w:t>
      </w:r>
      <w:r>
        <w:rPr>
          <w:rFonts w:hint="eastAsia" w:ascii="仿宋" w:hAnsi="仿宋" w:eastAsia="仿宋" w:cs="仿宋"/>
          <w:color w:val="auto"/>
          <w:kern w:val="0"/>
          <w:sz w:val="32"/>
          <w:szCs w:val="32"/>
          <w:highlight w:val="none"/>
        </w:rPr>
        <w:t>，比2017年预算数减少</w:t>
      </w:r>
      <w:r>
        <w:rPr>
          <w:rFonts w:hint="eastAsia" w:ascii="仿宋" w:hAnsi="仿宋" w:eastAsia="仿宋" w:cs="仿宋"/>
          <w:color w:val="auto"/>
          <w:kern w:val="0"/>
          <w:sz w:val="32"/>
          <w:szCs w:val="32"/>
          <w:highlight w:val="none"/>
          <w:lang w:val="en-US" w:eastAsia="zh-CN"/>
        </w:rPr>
        <w:t>0.69</w:t>
      </w:r>
      <w:r>
        <w:rPr>
          <w:rFonts w:hint="eastAsia" w:ascii="仿宋" w:hAnsi="仿宋" w:eastAsia="仿宋" w:cs="仿宋"/>
          <w:color w:val="auto"/>
          <w:kern w:val="0"/>
          <w:sz w:val="32"/>
          <w:szCs w:val="32"/>
          <w:highlight w:val="none"/>
        </w:rPr>
        <w:t>万元，下降</w:t>
      </w:r>
      <w:r>
        <w:rPr>
          <w:rFonts w:hint="eastAsia" w:ascii="仿宋" w:hAnsi="仿宋" w:eastAsia="仿宋" w:cs="仿宋"/>
          <w:color w:val="auto"/>
          <w:kern w:val="0"/>
          <w:sz w:val="32"/>
          <w:szCs w:val="32"/>
          <w:highlight w:val="none"/>
          <w:lang w:val="en-US" w:eastAsia="zh-CN"/>
        </w:rPr>
        <w:t>85.2</w:t>
      </w:r>
      <w:r>
        <w:rPr>
          <w:rFonts w:hint="eastAsia" w:ascii="仿宋" w:hAnsi="仿宋" w:eastAsia="仿宋" w:cs="仿宋"/>
          <w:color w:val="auto"/>
          <w:kern w:val="0"/>
          <w:sz w:val="32"/>
          <w:szCs w:val="32"/>
          <w:highlight w:val="none"/>
        </w:rPr>
        <w:t>%。</w:t>
      </w:r>
      <w:r>
        <w:rPr>
          <w:rFonts w:hint="eastAsia" w:ascii="仿宋" w:hAnsi="仿宋" w:eastAsia="仿宋" w:cs="仿宋"/>
          <w:color w:val="auto"/>
          <w:kern w:val="0"/>
          <w:sz w:val="32"/>
          <w:szCs w:val="32"/>
          <w:lang w:val="en-US" w:eastAsia="zh-CN"/>
        </w:rPr>
        <w:t>主要原因：</w:t>
      </w:r>
      <w:r>
        <w:rPr>
          <w:rFonts w:hint="eastAsia" w:ascii="仿宋_GB2312" w:hAnsi="仿宋_GB2312" w:eastAsia="仿宋_GB2312" w:cs="仿宋_GB2312"/>
          <w:b w:val="0"/>
          <w:i w:val="0"/>
          <w:caps w:val="0"/>
          <w:color w:val="auto"/>
          <w:spacing w:val="0"/>
          <w:sz w:val="32"/>
          <w:szCs w:val="32"/>
          <w:shd w:val="clear" w:color="080000" w:fill="FFFFFF"/>
        </w:rPr>
        <w:t>深入贯彻中央“八项规</w:t>
      </w:r>
      <w:bookmarkStart w:id="0" w:name="_GoBack"/>
      <w:bookmarkEnd w:id="0"/>
      <w:r>
        <w:rPr>
          <w:rFonts w:hint="eastAsia" w:ascii="仿宋_GB2312" w:hAnsi="仿宋_GB2312" w:eastAsia="仿宋_GB2312" w:cs="仿宋_GB2312"/>
          <w:b w:val="0"/>
          <w:i w:val="0"/>
          <w:caps w:val="0"/>
          <w:color w:val="auto"/>
          <w:spacing w:val="0"/>
          <w:sz w:val="32"/>
          <w:szCs w:val="32"/>
          <w:shd w:val="clear" w:color="080000" w:fill="FFFFFF"/>
        </w:rPr>
        <w:t>定”精神等工作要求，</w:t>
      </w:r>
      <w:r>
        <w:rPr>
          <w:rFonts w:hint="eastAsia" w:ascii="仿宋_GB2312" w:hAnsi="仿宋_GB2312" w:eastAsia="仿宋_GB2312" w:cs="仿宋_GB2312"/>
          <w:b w:val="0"/>
          <w:i w:val="0"/>
          <w:caps w:val="0"/>
          <w:color w:val="auto"/>
          <w:spacing w:val="0"/>
          <w:sz w:val="32"/>
          <w:szCs w:val="32"/>
          <w:shd w:val="clear" w:color="080000" w:fill="FFFFFF"/>
          <w:lang w:val="en-US" w:eastAsia="zh-CN"/>
        </w:rPr>
        <w:t>大力压缩</w:t>
      </w:r>
      <w:r>
        <w:rPr>
          <w:rFonts w:hint="eastAsia" w:ascii="仿宋" w:hAnsi="仿宋" w:eastAsia="仿宋" w:cs="仿宋"/>
          <w:color w:val="auto"/>
          <w:sz w:val="32"/>
          <w:szCs w:val="32"/>
        </w:rPr>
        <w:t>“三公”经费</w:t>
      </w:r>
      <w:r>
        <w:rPr>
          <w:rFonts w:hint="eastAsia" w:ascii="仿宋" w:hAnsi="仿宋" w:eastAsia="仿宋" w:cs="仿宋"/>
          <w:color w:val="auto"/>
          <w:sz w:val="32"/>
          <w:szCs w:val="32"/>
          <w:lang w:eastAsia="zh-CN"/>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lang w:val="en-US" w:eastAsia="zh-CN"/>
        </w:rPr>
        <w:t xml:space="preserve"> </w:t>
      </w:r>
      <w:r>
        <w:rPr>
          <w:rFonts w:hint="eastAsia" w:ascii="仿宋_GB2312" w:hAnsi="仿宋_GB2312" w:eastAsia="仿宋_GB2312" w:cs="仿宋_GB2312"/>
          <w:color w:val="auto"/>
          <w:spacing w:val="-1"/>
          <w:kern w:val="0"/>
          <w:sz w:val="32"/>
          <w:szCs w:val="32"/>
          <w:lang w:eastAsia="zh-CN"/>
        </w:rPr>
        <w:t>十</w:t>
      </w:r>
      <w:r>
        <w:rPr>
          <w:rFonts w:hint="eastAsia" w:ascii="仿宋_GB2312" w:hAnsi="仿宋_GB2312" w:eastAsia="仿宋_GB2312" w:cs="仿宋_GB2312"/>
          <w:color w:val="auto"/>
          <w:spacing w:val="-1"/>
          <w:kern w:val="0"/>
          <w:sz w:val="32"/>
          <w:szCs w:val="32"/>
        </w:rPr>
        <w:t>、其他重要事项的情况说明</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kern w:val="0"/>
          <w:sz w:val="32"/>
          <w:szCs w:val="32"/>
        </w:rPr>
        <w:t>（一）</w:t>
      </w:r>
      <w:r>
        <w:rPr>
          <w:rFonts w:hint="eastAsia" w:ascii="仿宋_GB2312" w:hAnsi="仿宋_GB2312" w:eastAsia="仿宋_GB2312" w:cs="仿宋_GB2312"/>
          <w:b/>
          <w:color w:val="auto"/>
          <w:kern w:val="0"/>
          <w:sz w:val="32"/>
          <w:szCs w:val="32"/>
          <w:lang w:eastAsia="zh-CN"/>
        </w:rPr>
        <w:t>运行经费支出</w:t>
      </w:r>
      <w:r>
        <w:rPr>
          <w:rFonts w:hint="eastAsia" w:ascii="仿宋_GB2312" w:hAnsi="仿宋_GB2312" w:eastAsia="仿宋_GB2312" w:cs="仿宋_GB2312"/>
          <w:b/>
          <w:color w:val="auto"/>
          <w:kern w:val="0"/>
          <w:sz w:val="32"/>
          <w:szCs w:val="32"/>
        </w:rPr>
        <w:t>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动物卫生监督所</w:t>
      </w:r>
      <w:r>
        <w:rPr>
          <w:rFonts w:hint="eastAsia" w:ascii="仿宋_GB2312" w:hAnsi="仿宋_GB2312" w:eastAsia="仿宋_GB2312" w:cs="仿宋_GB2312"/>
          <w:color w:val="auto"/>
          <w:sz w:val="32"/>
          <w:szCs w:val="32"/>
          <w:highlight w:val="none"/>
        </w:rPr>
        <w:t>201</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eastAsia="zh-CN"/>
        </w:rPr>
        <w:t>机关运行经费支出</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kern w:val="0"/>
          <w:sz w:val="32"/>
          <w:szCs w:val="32"/>
          <w:highlight w:val="none"/>
          <w:lang w:val="en-US" w:eastAsia="zh-CN"/>
        </w:rPr>
        <w:t>4.06</w:t>
      </w:r>
      <w:r>
        <w:rPr>
          <w:rFonts w:hint="eastAsia" w:ascii="仿宋_GB2312" w:hAnsi="仿宋_GB2312" w:eastAsia="仿宋_GB2312" w:cs="仿宋_GB2312"/>
          <w:color w:val="auto"/>
          <w:sz w:val="32"/>
          <w:szCs w:val="32"/>
          <w:highlight w:val="none"/>
        </w:rPr>
        <w:t>万元，主要保障机关机构正常运转及正常履职需要的办公费、水电费、物业费、维修费、差旅费等支出</w:t>
      </w:r>
      <w:r>
        <w:rPr>
          <w:rFonts w:hint="eastAsia" w:ascii="仿宋_GB2312" w:hAnsi="仿宋_GB2312" w:eastAsia="仿宋_GB2312" w:cs="仿宋_GB2312"/>
          <w:color w:val="auto"/>
          <w:sz w:val="32"/>
          <w:szCs w:val="32"/>
          <w:highlight w:val="none"/>
          <w:lang w:eastAsia="zh-CN"/>
        </w:rPr>
        <w:t>，比</w:t>
      </w:r>
      <w:r>
        <w:rPr>
          <w:rFonts w:hint="eastAsia" w:ascii="仿宋_GB2312" w:hAnsi="仿宋_GB2312" w:eastAsia="仿宋_GB2312" w:cs="仿宋_GB2312"/>
          <w:color w:val="auto"/>
          <w:sz w:val="32"/>
          <w:szCs w:val="32"/>
          <w:highlight w:val="none"/>
          <w:lang w:val="en-US" w:eastAsia="zh-CN"/>
        </w:rPr>
        <w:t>2017年减少2.55</w:t>
      </w:r>
      <w:r>
        <w:rPr>
          <w:rFonts w:hint="eastAsia" w:ascii="仿宋_GB2312" w:hAnsi="仿宋_GB2312" w:eastAsia="仿宋_GB2312" w:cs="仿宋_GB2312"/>
          <w:color w:val="auto"/>
          <w:kern w:val="0"/>
          <w:sz w:val="32"/>
          <w:szCs w:val="32"/>
          <w:highlight w:val="none"/>
          <w:lang w:eastAsia="zh-CN"/>
        </w:rPr>
        <w:t>万元，下降</w:t>
      </w:r>
      <w:r>
        <w:rPr>
          <w:rFonts w:hint="eastAsia" w:ascii="仿宋_GB2312" w:hAnsi="仿宋_GB2312" w:eastAsia="仿宋_GB2312" w:cs="仿宋_GB2312"/>
          <w:color w:val="auto"/>
          <w:kern w:val="0"/>
          <w:sz w:val="32"/>
          <w:szCs w:val="32"/>
          <w:highlight w:val="none"/>
          <w:lang w:val="en-US" w:eastAsia="zh-CN"/>
        </w:rPr>
        <w:t>38.6%，</w:t>
      </w:r>
      <w:r>
        <w:rPr>
          <w:rFonts w:hint="eastAsia" w:ascii="仿宋" w:hAnsi="仿宋" w:eastAsia="仿宋" w:cs="仿宋"/>
          <w:color w:val="auto"/>
          <w:kern w:val="0"/>
          <w:sz w:val="32"/>
          <w:szCs w:val="32"/>
          <w:lang w:val="en-US" w:eastAsia="zh-CN"/>
        </w:rPr>
        <w:t>主要原因：</w:t>
      </w:r>
      <w:r>
        <w:rPr>
          <w:rFonts w:hint="eastAsia" w:ascii="仿宋_GB2312" w:hAnsi="仿宋_GB2312" w:eastAsia="仿宋_GB2312" w:cs="仿宋_GB2312"/>
          <w:b w:val="0"/>
          <w:i w:val="0"/>
          <w:caps w:val="0"/>
          <w:color w:val="auto"/>
          <w:spacing w:val="0"/>
          <w:sz w:val="32"/>
          <w:szCs w:val="32"/>
          <w:shd w:val="clear" w:color="080000" w:fill="FFFFFF"/>
        </w:rPr>
        <w:t>深入贯彻中央“八项规定”精神等工作要求，严格控制行政成本，大力压缩经费支出</w:t>
      </w:r>
      <w:r>
        <w:rPr>
          <w:rFonts w:hint="eastAsia" w:ascii="仿宋" w:hAnsi="仿宋" w:eastAsia="仿宋" w:cs="仿宋"/>
          <w:color w:val="auto"/>
          <w:kern w:val="0"/>
          <w:sz w:val="32"/>
          <w:szCs w:val="32"/>
          <w:lang w:eastAsia="zh-CN"/>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color w:val="auto"/>
          <w:kern w:val="0"/>
          <w:sz w:val="32"/>
          <w:szCs w:val="32"/>
          <w:highlight w:val="none"/>
        </w:rPr>
      </w:pPr>
      <w:r>
        <w:rPr>
          <w:rFonts w:hint="eastAsia" w:ascii="仿宋_GB2312" w:hAnsi="仿宋_GB2312" w:eastAsia="仿宋_GB2312" w:cs="仿宋_GB2312"/>
          <w:b/>
          <w:color w:val="auto"/>
          <w:kern w:val="0"/>
          <w:sz w:val="32"/>
          <w:szCs w:val="32"/>
          <w:highlight w:val="none"/>
        </w:rPr>
        <w:t>（二）政府采购支出情况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color w:val="auto"/>
          <w:sz w:val="32"/>
          <w:szCs w:val="32"/>
          <w:highlight w:val="none"/>
          <w:lang w:val="en-US"/>
        </w:rPr>
      </w:pPr>
      <w:r>
        <w:rPr>
          <w:rFonts w:hint="eastAsia" w:ascii="仿宋_GB2312" w:hAnsi="仿宋_GB2312" w:eastAsia="仿宋_GB2312" w:cs="仿宋_GB2312"/>
          <w:color w:val="auto"/>
          <w:sz w:val="32"/>
          <w:szCs w:val="32"/>
          <w:highlight w:val="none"/>
        </w:rPr>
        <w:t>201</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年政府采购预算安排</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w:t>
      </w:r>
    </w:p>
    <w:p>
      <w:pPr>
        <w:widowControl w:val="0"/>
        <w:kinsoku w:val="0"/>
        <w:wordWrap/>
        <w:overflowPunct w:val="0"/>
        <w:autoSpaceDE w:val="0"/>
        <w:autoSpaceDN w:val="0"/>
        <w:adjustRightInd w:val="0"/>
        <w:snapToGrid w:val="0"/>
        <w:spacing w:before="0" w:after="0" w:line="560" w:lineRule="exact"/>
        <w:ind w:left="0" w:leftChars="0" w:right="0" w:firstLine="624" w:firstLineChars="200"/>
        <w:jc w:val="both"/>
        <w:textAlignment w:val="auto"/>
        <w:outlineLvl w:val="0"/>
        <w:rPr>
          <w:rFonts w:hint="eastAsia"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rPr>
        <w:t>（三）关于预算绩效管理工作开展情况说明</w:t>
      </w:r>
    </w:p>
    <w:p>
      <w:pPr>
        <w:widowControl w:val="0"/>
        <w:numPr>
          <w:numId w:val="0"/>
        </w:numPr>
        <w:wordWrap/>
        <w:adjustRightInd/>
        <w:snapToGrid/>
        <w:spacing w:before="0" w:after="0" w:line="240" w:lineRule="auto"/>
        <w:ind w:left="404" w:leftChars="200" w:right="0" w:firstLine="624" w:firstLineChars="200"/>
        <w:jc w:val="both"/>
        <w:textAlignment w:val="auto"/>
        <w:outlineLvl w:val="9"/>
        <w:rPr>
          <w:rFonts w:hint="eastAsia"/>
          <w:color w:val="auto"/>
          <w:sz w:val="28"/>
          <w:szCs w:val="28"/>
          <w:lang w:val="en-US" w:eastAsia="zh-CN"/>
        </w:rPr>
      </w:pPr>
      <w:r>
        <w:rPr>
          <w:rFonts w:hint="eastAsia" w:ascii="仿宋" w:hAnsi="仿宋" w:eastAsia="仿宋" w:cs="仿宋"/>
          <w:color w:val="auto"/>
          <w:sz w:val="32"/>
          <w:szCs w:val="32"/>
          <w:lang w:val="en-US" w:eastAsia="zh-CN"/>
        </w:rPr>
        <w:t>2017年，我部门对1个项目进行了预算绩效评价，涉及资金1.5</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2018年，我部门纳入预算绩效管理的支出总额为118.84万元，其中人员经费支出107.78万元，公用经费支出4.06万元，支出项目共6个，支出总额7万元，其中预算支出100万元及100万元以上项目0个。</w:t>
      </w:r>
      <w:r>
        <w:rPr>
          <w:rFonts w:hint="eastAsia"/>
          <w:color w:val="auto"/>
          <w:sz w:val="28"/>
          <w:szCs w:val="28"/>
          <w:lang w:val="en-US" w:eastAsia="zh-CN"/>
        </w:rPr>
        <w:t xml:space="preserve"> </w:t>
      </w:r>
    </w:p>
    <w:p>
      <w:pPr>
        <w:numPr>
          <w:numId w:val="0"/>
        </w:numPr>
        <w:ind w:left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（四）国有资产占用情况</w:t>
      </w:r>
    </w:p>
    <w:p>
      <w:pPr>
        <w:widowControl/>
        <w:spacing w:line="360" w:lineRule="auto"/>
        <w:ind w:firstLine="624" w:firstLineChars="200"/>
        <w:jc w:val="left"/>
        <w:rPr>
          <w:rFonts w:hint="eastAsia" w:ascii="仿宋" w:hAnsi="仿宋" w:eastAsia="仿宋" w:cs="仿宋"/>
          <w:color w:val="auto"/>
          <w:kern w:val="0"/>
          <w:sz w:val="32"/>
          <w:szCs w:val="32"/>
          <w:lang w:val="en-US" w:eastAsia="zh-CN"/>
        </w:rPr>
      </w:pP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017年期末，</w:t>
      </w:r>
      <w:r>
        <w:rPr>
          <w:rFonts w:hint="eastAsia" w:ascii="仿宋_GB2312" w:hAnsi="仿宋_GB2312" w:eastAsia="仿宋_GB2312" w:cs="仿宋_GB2312"/>
          <w:color w:val="auto"/>
          <w:kern w:val="0"/>
          <w:sz w:val="32"/>
          <w:szCs w:val="32"/>
          <w:highlight w:val="none"/>
          <w:lang w:eastAsia="zh-CN"/>
        </w:rPr>
        <w:t>动物卫生监督所固定资产总额</w:t>
      </w:r>
      <w:r>
        <w:rPr>
          <w:rFonts w:hint="eastAsia" w:ascii="仿宋_GB2312" w:hAnsi="仿宋_GB2312" w:eastAsia="仿宋_GB2312" w:cs="仿宋_GB2312"/>
          <w:color w:val="auto"/>
          <w:kern w:val="0"/>
          <w:sz w:val="32"/>
          <w:szCs w:val="32"/>
          <w:highlight w:val="none"/>
          <w:lang w:val="en-US" w:eastAsia="zh-CN"/>
        </w:rPr>
        <w:t>5.166</w:t>
      </w:r>
      <w:r>
        <w:rPr>
          <w:rFonts w:hint="eastAsia" w:ascii="仿宋_GB2312" w:hAnsi="仿宋_GB2312" w:eastAsia="仿宋_GB2312" w:cs="仿宋_GB2312"/>
          <w:color w:val="auto"/>
          <w:kern w:val="0"/>
          <w:sz w:val="32"/>
          <w:szCs w:val="32"/>
          <w:highlight w:val="none"/>
          <w:lang w:eastAsia="zh-CN"/>
        </w:rPr>
        <w:t>万元，</w:t>
      </w:r>
      <w:r>
        <w:rPr>
          <w:rFonts w:hint="eastAsia" w:ascii="仿宋" w:hAnsi="仿宋" w:eastAsia="仿宋" w:cs="仿宋"/>
          <w:color w:val="auto"/>
          <w:kern w:val="0"/>
          <w:sz w:val="32"/>
          <w:szCs w:val="32"/>
          <w:lang w:val="en-US" w:eastAsia="zh-CN"/>
        </w:rPr>
        <w:t>无房屋建筑物及车辆，无单价50万元以上通用设备及单价100万元以上专用设备。</w:t>
      </w:r>
    </w:p>
    <w:p>
      <w:pPr>
        <w:widowControl/>
        <w:ind w:firstLine="624" w:firstLineChars="200"/>
        <w:jc w:val="left"/>
        <w:rPr>
          <w:rFonts w:hint="eastAsia"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rPr>
        <w:t>（</w:t>
      </w:r>
      <w:r>
        <w:rPr>
          <w:rFonts w:hint="eastAsia" w:ascii="仿宋_GB2312" w:hAnsi="仿宋_GB2312" w:eastAsia="仿宋_GB2312" w:cs="仿宋_GB2312"/>
          <w:b/>
          <w:color w:val="auto"/>
          <w:kern w:val="0"/>
          <w:sz w:val="32"/>
          <w:szCs w:val="32"/>
          <w:lang w:eastAsia="zh-CN"/>
        </w:rPr>
        <w:t>五</w:t>
      </w:r>
      <w:r>
        <w:rPr>
          <w:rFonts w:hint="eastAsia" w:ascii="仿宋_GB2312" w:hAnsi="仿宋_GB2312" w:eastAsia="仿宋_GB2312" w:cs="仿宋_GB2312"/>
          <w:b/>
          <w:color w:val="auto"/>
          <w:kern w:val="0"/>
          <w:sz w:val="32"/>
          <w:szCs w:val="32"/>
        </w:rPr>
        <w:t>）关于预算部门构成说明</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b/>
          <w:color w:val="auto"/>
          <w:kern w:val="0"/>
          <w:sz w:val="32"/>
          <w:szCs w:val="32"/>
        </w:rPr>
      </w:pPr>
      <w:r>
        <w:rPr>
          <w:rFonts w:hint="eastAsia" w:ascii="仿宋" w:hAnsi="仿宋" w:eastAsia="仿宋" w:cs="仿宋"/>
          <w:color w:val="auto"/>
          <w:sz w:val="32"/>
          <w:szCs w:val="32"/>
        </w:rPr>
        <w:t>2018年我单位按照</w:t>
      </w:r>
      <w:r>
        <w:rPr>
          <w:rFonts w:hint="eastAsia" w:ascii="仿宋" w:hAnsi="仿宋" w:eastAsia="仿宋" w:cs="仿宋"/>
          <w:color w:val="auto"/>
          <w:sz w:val="32"/>
          <w:szCs w:val="32"/>
          <w:lang w:eastAsia="zh-CN"/>
        </w:rPr>
        <w:t>区</w:t>
      </w:r>
      <w:r>
        <w:rPr>
          <w:rFonts w:hint="eastAsia" w:ascii="仿宋" w:hAnsi="仿宋" w:eastAsia="仿宋" w:cs="仿宋"/>
          <w:color w:val="auto"/>
          <w:sz w:val="32"/>
          <w:szCs w:val="32"/>
        </w:rPr>
        <w:t>财政预算公开要求，将所属预算单位全部纳入预算公开范围。</w:t>
      </w:r>
    </w:p>
    <w:p>
      <w:pPr>
        <w:adjustRightInd w:val="0"/>
        <w:snapToGrid w:val="0"/>
        <w:spacing w:line="360" w:lineRule="auto"/>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第三部分 名词解释</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一、财政拨款收入：是指</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级财政当年拨付的资金。</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rPr>
        <w:t>、基本支出：是指为保障机构正常运转、完成日常工作任务所必需的开支，其内容包括人员经费和日常公用经费两部分。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color w:val="auto"/>
          <w:sz w:val="32"/>
          <w:szCs w:val="32"/>
        </w:rPr>
        <w:t>、项目支出：是指在基本支出之外，为完成特定的行政工作任务或事业发展目标所发生的支出。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六</w:t>
      </w:r>
      <w:r>
        <w:rPr>
          <w:rFonts w:hint="eastAsia" w:ascii="仿宋_GB2312" w:hAnsi="仿宋_GB2312" w:eastAsia="仿宋_GB2312" w:cs="仿宋_GB2312"/>
          <w:color w:val="auto"/>
          <w:sz w:val="32"/>
          <w:szCs w:val="32"/>
        </w:rPr>
        <w:t>、“三公”经费：是指纳入</w:t>
      </w:r>
      <w:r>
        <w:rPr>
          <w:rFonts w:hint="eastAsia" w:ascii="仿宋_GB2312" w:hAnsi="仿宋_GB2312" w:eastAsia="仿宋_GB2312" w:cs="仿宋_GB2312"/>
          <w:color w:val="auto"/>
          <w:sz w:val="32"/>
          <w:szCs w:val="32"/>
          <w:lang w:eastAsia="zh-CN"/>
        </w:rPr>
        <w:t>区</w:t>
      </w:r>
      <w:r>
        <w:rPr>
          <w:rFonts w:hint="eastAsia" w:ascii="仿宋_GB2312" w:hAnsi="仿宋_GB2312" w:eastAsia="仿宋_GB2312" w:cs="仿宋_GB2312"/>
          <w:color w:val="auto"/>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color w:val="auto"/>
          <w:sz w:val="32"/>
          <w:szCs w:val="32"/>
        </w:rPr>
      </w:pPr>
      <w:r>
        <w:rPr>
          <w:rFonts w:hint="eastAsia" w:ascii="仿宋_GB2312" w:hAnsi="宋体" w:eastAsia="仿宋_GB2312" w:cs="Courier New"/>
          <w:color w:val="auto"/>
          <w:sz w:val="32"/>
          <w:szCs w:val="32"/>
          <w:lang w:eastAsia="zh-CN"/>
        </w:rPr>
        <w:t>七</w:t>
      </w:r>
      <w:r>
        <w:rPr>
          <w:rFonts w:hint="eastAsia" w:ascii="仿宋_GB2312" w:hAnsi="宋体" w:eastAsia="仿宋_GB2312" w:cs="Courier New"/>
          <w:color w:val="auto"/>
          <w:sz w:val="32"/>
          <w:szCs w:val="32"/>
        </w:rPr>
        <w:t>、</w:t>
      </w:r>
      <w:r>
        <w:rPr>
          <w:rFonts w:hint="eastAsia" w:ascii="仿宋_GB2312" w:hAnsi="宋体" w:eastAsia="仿宋_GB2312" w:cs="Courier New"/>
          <w:color w:val="auto"/>
          <w:sz w:val="32"/>
          <w:szCs w:val="32"/>
          <w:lang w:eastAsia="zh-CN"/>
        </w:rPr>
        <w:t>运行经费</w:t>
      </w:r>
      <w:r>
        <w:rPr>
          <w:rFonts w:hint="eastAsia" w:ascii="仿宋_GB2312" w:hAnsi="宋体" w:eastAsia="仿宋_GB2312" w:cs="Courier New"/>
          <w:color w:val="auto"/>
          <w:sz w:val="32"/>
          <w:szCs w:val="32"/>
        </w:rPr>
        <w:t>：是指为保障</w:t>
      </w:r>
      <w:r>
        <w:rPr>
          <w:rFonts w:hint="eastAsia" w:ascii="仿宋_GB2312" w:hAnsi="仿宋_GB2312" w:eastAsia="仿宋_GB2312" w:cs="仿宋_GB2312"/>
          <w:color w:val="auto"/>
          <w:sz w:val="32"/>
          <w:szCs w:val="32"/>
        </w:rPr>
        <w:t>机构正常运转及正常履职需要的办公费、水电费、</w:t>
      </w:r>
      <w:r>
        <w:rPr>
          <w:rFonts w:hint="eastAsia" w:ascii="仿宋_GB2312" w:hAnsi="仿宋_GB2312" w:eastAsia="仿宋_GB2312" w:cs="仿宋_GB2312"/>
          <w:color w:val="auto"/>
          <w:sz w:val="32"/>
          <w:szCs w:val="32"/>
          <w:lang w:eastAsia="zh-CN"/>
        </w:rPr>
        <w:t>日常维修、</w:t>
      </w:r>
      <w:r>
        <w:rPr>
          <w:rFonts w:hint="eastAsia" w:ascii="仿宋_GB2312" w:hAnsi="仿宋_GB2312" w:eastAsia="仿宋_GB2312" w:cs="仿宋_GB2312"/>
          <w:color w:val="auto"/>
          <w:sz w:val="32"/>
          <w:szCs w:val="32"/>
        </w:rPr>
        <w:t>物业费、维修费、差旅费</w:t>
      </w:r>
      <w:r>
        <w:rPr>
          <w:rFonts w:hint="eastAsia" w:ascii="仿宋_GB2312" w:hAnsi="仿宋_GB2312" w:eastAsia="仿宋_GB2312" w:cs="仿宋_GB2312"/>
          <w:color w:val="auto"/>
          <w:sz w:val="32"/>
          <w:szCs w:val="32"/>
          <w:lang w:eastAsia="zh-CN"/>
        </w:rPr>
        <w:t>、</w:t>
      </w:r>
      <w:r>
        <w:rPr>
          <w:rFonts w:hint="eastAsia" w:ascii="仿宋_GB2312" w:hAnsi="宋体" w:eastAsia="仿宋_GB2312" w:cs="Courier New"/>
          <w:color w:val="auto"/>
          <w:sz w:val="32"/>
          <w:szCs w:val="32"/>
        </w:rPr>
        <w:t>公务用车运行维护费以及其他费用</w:t>
      </w:r>
      <w:r>
        <w:rPr>
          <w:rFonts w:hint="eastAsia" w:ascii="仿宋_GB2312" w:hAnsi="仿宋_GB2312" w:eastAsia="仿宋_GB2312" w:cs="仿宋_GB2312"/>
          <w:color w:val="auto"/>
          <w:sz w:val="32"/>
          <w:szCs w:val="32"/>
        </w:rPr>
        <w:t>等支出。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w:t>
      </w:r>
      <w:r>
        <w:rPr>
          <w:rFonts w:hint="eastAsia" w:ascii="仿宋_GB2312" w:hAnsi="仿宋_GB2312" w:eastAsia="仿宋_GB2312" w:cs="仿宋_GB2312"/>
          <w:color w:val="auto"/>
          <w:sz w:val="32"/>
          <w:szCs w:val="32"/>
          <w:lang w:val="en-US" w:eastAsia="zh-CN"/>
        </w:rPr>
        <w:t>动物卫生监督所</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年度部门预算表</w:t>
      </w:r>
    </w:p>
    <w:p>
      <w:pPr>
        <w:adjustRightInd w:val="0"/>
        <w:snapToGrid w:val="0"/>
        <w:spacing w:line="360" w:lineRule="auto"/>
        <w:ind w:firstLine="624" w:firstLineChars="200"/>
        <w:rPr>
          <w:rFonts w:hint="eastAsia" w:ascii="仿宋_GB2312" w:hAnsi="仿宋_GB2312" w:eastAsia="仿宋_GB2312" w:cs="仿宋_GB2312"/>
          <w:color w:val="auto"/>
          <w:sz w:val="32"/>
          <w:szCs w:val="32"/>
        </w:rPr>
      </w:pPr>
    </w:p>
    <w:p>
      <w:pPr>
        <w:adjustRightInd w:val="0"/>
        <w:snapToGrid w:val="0"/>
        <w:spacing w:line="360" w:lineRule="auto"/>
        <w:ind w:firstLine="624"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sz w:val="32"/>
          <w:szCs w:val="32"/>
          <w:lang w:val="en-US" w:eastAsia="zh-CN"/>
        </w:rPr>
        <w:t xml:space="preserve">                                  2018年10月9日</w:t>
      </w:r>
    </w:p>
    <w:sectPr>
      <w:pgSz w:w="11906" w:h="16838"/>
      <w:pgMar w:top="2154" w:right="1474" w:bottom="1757" w:left="1587" w:header="851" w:footer="992" w:gutter="0"/>
      <w:cols w:space="720" w:num="1"/>
      <w:rtlGutter w:val="0"/>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5138474">
    <w:nsid w:val="5A4F2DAA"/>
    <w:multiLevelType w:val="singleLevel"/>
    <w:tmpl w:val="5A4F2DAA"/>
    <w:lvl w:ilvl="0" w:tentative="1">
      <w:start w:val="1"/>
      <w:numFmt w:val="chineseCounting"/>
      <w:suff w:val="nothing"/>
      <w:lvlText w:val="（%1）"/>
      <w:lvlJc w:val="left"/>
    </w:lvl>
  </w:abstractNum>
  <w:abstractNum w:abstractNumId="1517907436">
    <w:nsid w:val="5A796DEC"/>
    <w:multiLevelType w:val="singleLevel"/>
    <w:tmpl w:val="5A796DEC"/>
    <w:lvl w:ilvl="0" w:tentative="1">
      <w:start w:val="1"/>
      <w:numFmt w:val="chineseCounting"/>
      <w:suff w:val="nothing"/>
      <w:lvlText w:val="%1、"/>
      <w:lvlJc w:val="left"/>
    </w:lvl>
  </w:abstractNum>
  <w:abstractNum w:abstractNumId="1541052010">
    <w:nsid w:val="5BDA966A"/>
    <w:multiLevelType w:val="singleLevel"/>
    <w:tmpl w:val="5BDA966A"/>
    <w:lvl w:ilvl="0" w:tentative="1">
      <w:start w:val="1"/>
      <w:numFmt w:val="chineseCounting"/>
      <w:suff w:val="nothing"/>
      <w:lvlText w:val="（%1）"/>
      <w:lvlJc w:val="left"/>
    </w:lvl>
  </w:abstractNum>
  <w:abstractNum w:abstractNumId="1541052497">
    <w:nsid w:val="5BDA9851"/>
    <w:multiLevelType w:val="singleLevel"/>
    <w:tmpl w:val="5BDA9851"/>
    <w:lvl w:ilvl="0" w:tentative="1">
      <w:start w:val="2"/>
      <w:numFmt w:val="chineseCounting"/>
      <w:suff w:val="nothing"/>
      <w:lvlText w:val="（%1）"/>
      <w:lvlJc w:val="left"/>
    </w:lvl>
  </w:abstractNum>
  <w:abstractNum w:abstractNumId="1541052617">
    <w:nsid w:val="5BDA98C9"/>
    <w:multiLevelType w:val="singleLevel"/>
    <w:tmpl w:val="5BDA98C9"/>
    <w:lvl w:ilvl="0" w:tentative="1">
      <w:start w:val="1"/>
      <w:numFmt w:val="decimal"/>
      <w:suff w:val="nothing"/>
      <w:lvlText w:val="（%1）"/>
      <w:lvlJc w:val="left"/>
    </w:lvl>
  </w:abstractNum>
  <w:abstractNum w:abstractNumId="1541061986">
    <w:nsid w:val="5BDABD62"/>
    <w:multiLevelType w:val="singleLevel"/>
    <w:tmpl w:val="5BDABD62"/>
    <w:lvl w:ilvl="0" w:tentative="1">
      <w:start w:val="8"/>
      <w:numFmt w:val="chineseCounting"/>
      <w:suff w:val="nothing"/>
      <w:lvlText w:val="%1、"/>
      <w:lvlJc w:val="left"/>
    </w:lvl>
  </w:abstractNum>
  <w:num w:numId="1">
    <w:abstractNumId w:val="1517907436"/>
  </w:num>
  <w:num w:numId="2">
    <w:abstractNumId w:val="1541052010"/>
  </w:num>
  <w:num w:numId="3">
    <w:abstractNumId w:val="1541052497"/>
  </w:num>
  <w:num w:numId="4">
    <w:abstractNumId w:val="1541052617"/>
  </w:num>
  <w:num w:numId="5">
    <w:abstractNumId w:val="1541061986"/>
  </w:num>
  <w:num w:numId="6">
    <w:abstractNumId w:val="15151384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uiPriority w:val="0"/>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Lenovo</cp:lastModifiedBy>
  <cp:lastPrinted>2018-11-01T12:09:00Z</cp:lastPrinted>
  <dcterms:modified xsi:type="dcterms:W3CDTF">2018-12-28T00:20:38Z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