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jc w:val="center"/>
        <w:rPr>
          <w:rFonts w:ascii="黑体" w:hAnsi="黑体" w:eastAsia="黑体" w:cs="黑体"/>
          <w:sz w:val="52"/>
          <w:szCs w:val="52"/>
        </w:rPr>
      </w:pPr>
      <w:r>
        <w:rPr>
          <w:rFonts w:hint="eastAsia" w:ascii="黑体" w:hAnsi="黑体" w:eastAsia="黑体" w:cs="黑体"/>
          <w:sz w:val="52"/>
          <w:szCs w:val="52"/>
        </w:rPr>
        <w:t>焦作市食品药品监督管理局新区分局2018年度部门预算</w: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adjustRightInd w:val="0"/>
        <w:snapToGrid w:val="0"/>
        <w:spacing w:line="360" w:lineRule="auto"/>
        <w:jc w:val="center"/>
        <w:rPr>
          <w:rFonts w:ascii="方正小标宋简体" w:hAnsi="方正小标宋简体" w:eastAsia="方正小标宋简体" w:cs="方正小标宋简体"/>
          <w:sz w:val="44"/>
          <w:szCs w:val="44"/>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焦作市食品药品监督管理局新区分局2018年部门预算情况说明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焦作市食品药品监督管理局新区分局2018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焦作市食品药品监督管理局新区分局概况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ind w:firstLine="624" w:firstLineChars="200"/>
        <w:rPr>
          <w:rFonts w:ascii="仿宋_GB2312" w:eastAsia="仿宋_GB2312"/>
          <w:sz w:val="32"/>
          <w:szCs w:val="32"/>
        </w:rPr>
      </w:pPr>
      <w:r>
        <w:rPr>
          <w:rFonts w:hint="eastAsia" w:ascii="仿宋_GB2312" w:eastAsia="仿宋_GB2312"/>
          <w:sz w:val="32"/>
          <w:szCs w:val="32"/>
        </w:rPr>
        <w:t>（一）机构设置情况</w:t>
      </w:r>
    </w:p>
    <w:p>
      <w:pPr>
        <w:widowControl/>
        <w:shd w:val="clear" w:color="auto" w:fill="FFFFFF"/>
        <w:spacing w:line="360" w:lineRule="auto"/>
        <w:ind w:firstLine="468" w:firstLineChars="150"/>
        <w:jc w:val="left"/>
        <w:rPr>
          <w:rFonts w:ascii="仿宋" w:hAnsi="仿宋" w:eastAsia="仿宋" w:cs="仿宋"/>
          <w:sz w:val="32"/>
          <w:szCs w:val="32"/>
        </w:rPr>
      </w:pPr>
      <w:r>
        <w:rPr>
          <w:rFonts w:hint="eastAsia" w:ascii="仿宋_GB2312" w:hAnsi="仿宋_GB2312" w:eastAsia="仿宋_GB2312" w:cs="仿宋_GB2312"/>
          <w:sz w:val="32"/>
          <w:szCs w:val="32"/>
        </w:rPr>
        <w:t>焦作市食品药品监督管理局新区分局</w:t>
      </w:r>
      <w:r>
        <w:rPr>
          <w:rFonts w:hint="eastAsia" w:ascii="仿宋" w:hAnsi="仿宋" w:eastAsia="仿宋" w:cs="仿宋"/>
          <w:sz w:val="32"/>
          <w:szCs w:val="32"/>
        </w:rPr>
        <w:t>代管焦作市城乡一体化示范区食品药品稽查大队下设李万、文苑、文昌、宁郭、阳庙、苏家作6个乡镇食药所。规格为正科级，实有工作人员24名，正科级1名，副科级人员10名（副职2名、纪检1名，稽查大队长1名，6个基层所6名），经费供给方式为示范区财政全额拨付。</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（二）部门职责</w:t>
      </w:r>
    </w:p>
    <w:p>
      <w:pPr>
        <w:rPr>
          <w:rFonts w:ascii="仿宋_GB2312" w:eastAsia="仿宋_GB2312"/>
          <w:sz w:val="32"/>
          <w:szCs w:val="32"/>
        </w:rPr>
      </w:pPr>
      <w:r>
        <w:rPr>
          <w:rFonts w:hint="eastAsia" w:ascii="仿宋_GB2312" w:eastAsia="仿宋_GB2312"/>
          <w:sz w:val="32"/>
          <w:szCs w:val="32"/>
        </w:rPr>
        <w:t>（1）贯彻执行食品（含食品添加剂、保健食品，下同）安全、药品（含中药、民族药，下同）、医疗器械、化妆品监督管理方面的法律法规和方针政策。推动建立落实食品安全企业主体责任、地方人民政府负总责的机制，着力防范区域性、系统性食品药品安全风险。</w:t>
      </w:r>
    </w:p>
    <w:p>
      <w:pPr>
        <w:rPr>
          <w:rFonts w:ascii="仿宋_GB2312" w:eastAsia="仿宋_GB2312"/>
          <w:sz w:val="32"/>
          <w:szCs w:val="32"/>
        </w:rPr>
      </w:pPr>
      <w:r>
        <w:rPr>
          <w:rFonts w:hint="eastAsia" w:ascii="仿宋_GB2312" w:eastAsia="仿宋_GB2312"/>
          <w:sz w:val="32"/>
          <w:szCs w:val="32"/>
        </w:rPr>
        <w:t>（2）负责食品生产、流通和餐饮服务安全监管工作。负责食品流通以及餐饮服务许可管理工作。建立食品安全隐患排查治理机制，制定全区重大整顿治理方案并组织落实。贯彻落实国家、省和市上的食品安全风险监测计划、食品安全标准，根据食品安全风险监测计划开展食品安全风险监测工作。</w:t>
      </w:r>
    </w:p>
    <w:p>
      <w:pPr>
        <w:rPr>
          <w:rFonts w:ascii="仿宋_GB2312" w:eastAsia="仿宋_GB2312"/>
          <w:sz w:val="32"/>
          <w:szCs w:val="32"/>
        </w:rPr>
      </w:pPr>
      <w:r>
        <w:rPr>
          <w:rFonts w:hint="eastAsia" w:ascii="仿宋_GB2312" w:eastAsia="仿宋_GB2312"/>
          <w:sz w:val="32"/>
          <w:szCs w:val="32"/>
        </w:rPr>
        <w:t>（3）负责对食品、药品、医疗器械、化妆品的质量安全监管。</w:t>
      </w:r>
      <w:r>
        <w:rPr>
          <w:rFonts w:hint="eastAsia" w:ascii="仿宋_GB2312" w:eastAsia="仿宋_GB2312"/>
          <w:bCs/>
          <w:sz w:val="32"/>
          <w:szCs w:val="32"/>
        </w:rPr>
        <w:t>贯彻执行国家药典等药品和医疗器械标准、分类管理制度及药品和医疗器械研制、生产、经营、使用质量管理规范和分类管理制度。</w:t>
      </w:r>
      <w:r>
        <w:rPr>
          <w:rFonts w:hint="eastAsia" w:ascii="仿宋_GB2312" w:eastAsia="仿宋_GB2312"/>
          <w:sz w:val="32"/>
          <w:szCs w:val="32"/>
        </w:rPr>
        <w:t>负责药品、医疗器械零售企业经营许可的初审。负责医疗单位制剂生产（配制）的监督管理工作。组织开展药品不良反应和医疗器械不良事件监测工作。</w:t>
      </w:r>
    </w:p>
    <w:p>
      <w:pPr>
        <w:rPr>
          <w:rFonts w:ascii="仿宋_GB2312" w:eastAsia="仿宋_GB2312"/>
          <w:sz w:val="32"/>
          <w:szCs w:val="32"/>
        </w:rPr>
      </w:pPr>
      <w:r>
        <w:rPr>
          <w:rFonts w:hint="eastAsia" w:ascii="仿宋_GB2312" w:eastAsia="仿宋_GB2312"/>
          <w:sz w:val="32"/>
          <w:szCs w:val="32"/>
        </w:rPr>
        <w:t>（4）依法查处食品、药品、医疗器械、保健品、化妆品在生产、流通、消费、使用等环节的违法违规行为。监督实施问题产品召回和处置制度，对上述品种进行专项整治。</w:t>
      </w:r>
    </w:p>
    <w:p>
      <w:pPr>
        <w:rPr>
          <w:rFonts w:ascii="仿宋_GB2312" w:eastAsia="仿宋_GB2312"/>
          <w:sz w:val="32"/>
          <w:szCs w:val="32"/>
        </w:rPr>
      </w:pPr>
      <w:r>
        <w:rPr>
          <w:rFonts w:hint="eastAsia" w:ascii="仿宋_GB2312" w:eastAsia="仿宋_GB2312"/>
          <w:sz w:val="32"/>
          <w:szCs w:val="32"/>
        </w:rPr>
        <w:t>（5）负责全区食品药品安全事故应急体系建设，拟订区食品药品安全事故应急预案。组织全区食品药品安全事故应急处置和调查处理工作。</w:t>
      </w:r>
    </w:p>
    <w:p>
      <w:pPr>
        <w:rPr>
          <w:rFonts w:ascii="仿宋_GB2312" w:eastAsia="仿宋_GB2312"/>
          <w:sz w:val="32"/>
          <w:szCs w:val="32"/>
        </w:rPr>
      </w:pPr>
      <w:r>
        <w:rPr>
          <w:rFonts w:hint="eastAsia" w:ascii="仿宋_GB2312" w:eastAsia="仿宋_GB2312"/>
          <w:sz w:val="32"/>
          <w:szCs w:val="32"/>
        </w:rPr>
        <w:t>（6）组织实施食品药品安全方面的信息化建设及管理工作。</w:t>
      </w:r>
    </w:p>
    <w:p>
      <w:pPr>
        <w:rPr>
          <w:rFonts w:ascii="仿宋_GB2312" w:eastAsia="仿宋_GB2312"/>
          <w:sz w:val="32"/>
          <w:szCs w:val="32"/>
        </w:rPr>
      </w:pPr>
      <w:r>
        <w:rPr>
          <w:rFonts w:hint="eastAsia" w:ascii="仿宋_GB2312" w:eastAsia="仿宋_GB2312"/>
          <w:sz w:val="32"/>
          <w:szCs w:val="32"/>
        </w:rPr>
        <w:t>（7）负责开展食品药品安全宣传、教育培训，推进诚信体系建设。</w:t>
      </w:r>
    </w:p>
    <w:p>
      <w:pPr>
        <w:rPr>
          <w:rFonts w:ascii="仿宋_GB2312" w:eastAsia="仿宋_GB2312"/>
          <w:sz w:val="32"/>
          <w:szCs w:val="32"/>
        </w:rPr>
      </w:pPr>
      <w:r>
        <w:rPr>
          <w:rFonts w:hint="eastAsia" w:ascii="仿宋_GB2312" w:eastAsia="仿宋_GB2312"/>
          <w:sz w:val="32"/>
          <w:szCs w:val="32"/>
        </w:rPr>
        <w:t>（8）指导全区食品药品监督管理工作，规范行政执法行为，完善行政执法与刑事司法衔接机制。</w:t>
      </w:r>
    </w:p>
    <w:p>
      <w:pPr>
        <w:rPr>
          <w:rFonts w:ascii="仿宋_GB2312" w:eastAsia="仿宋_GB2312"/>
          <w:sz w:val="32"/>
          <w:szCs w:val="32"/>
        </w:rPr>
      </w:pPr>
      <w:r>
        <w:rPr>
          <w:rFonts w:hint="eastAsia" w:ascii="仿宋_GB2312" w:eastAsia="仿宋_GB2312"/>
          <w:sz w:val="32"/>
          <w:szCs w:val="32"/>
        </w:rPr>
        <w:t>（9）承担区食品安全委员会办公室日常工作。负责食品安全监督管理综合协调，健全协调联动机制。落实食品安全监管责任制和责任追究制。督促检查乡镇所和区食安委成员单位履行食品安全监督管理职责并负责考核评价。</w:t>
      </w:r>
    </w:p>
    <w:p>
      <w:pPr>
        <w:rPr>
          <w:rFonts w:ascii="仿宋_GB2312" w:eastAsia="仿宋_GB2312"/>
          <w:sz w:val="32"/>
          <w:szCs w:val="32"/>
        </w:rPr>
      </w:pPr>
      <w:r>
        <w:rPr>
          <w:rFonts w:hint="eastAsia" w:ascii="仿宋_GB2312" w:eastAsia="仿宋_GB2312"/>
          <w:sz w:val="32"/>
          <w:szCs w:val="32"/>
        </w:rPr>
        <w:t>（10）承办区政府以及区食品安全委员会交办的其他事项。</w:t>
      </w:r>
    </w:p>
    <w:p>
      <w:p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p>
    <w:p>
      <w:pPr>
        <w:numPr>
          <w:ilvl w:val="0"/>
          <w:numId w:val="1"/>
        </w:numPr>
        <w:kinsoku w:val="0"/>
        <w:overflowPunct w:val="0"/>
        <w:adjustRightInd w:val="0"/>
        <w:snapToGrid w:val="0"/>
        <w:spacing w:line="360" w:lineRule="auto"/>
        <w:ind w:right="3569"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部门预算单位构成</w:t>
      </w:r>
    </w:p>
    <w:p>
      <w:pPr>
        <w:widowControl/>
        <w:shd w:val="clear" w:color="auto" w:fill="FFFFFF"/>
        <w:spacing w:line="360" w:lineRule="auto"/>
        <w:ind w:firstLine="468" w:firstLineChars="150"/>
        <w:jc w:val="left"/>
        <w:rPr>
          <w:rFonts w:ascii="仿宋" w:hAnsi="仿宋" w:eastAsia="仿宋" w:cs="仿宋"/>
          <w:sz w:val="32"/>
          <w:szCs w:val="32"/>
        </w:rPr>
      </w:pPr>
      <w:r>
        <w:rPr>
          <w:rFonts w:hint="eastAsia" w:ascii="仿宋_GB2312" w:hAnsi="仿宋_GB2312" w:eastAsia="仿宋_GB2312" w:cs="仿宋_GB2312"/>
          <w:sz w:val="32"/>
          <w:szCs w:val="32"/>
        </w:rPr>
        <w:t>焦作市食品药品监督管理局新区分局</w:t>
      </w:r>
      <w:r>
        <w:rPr>
          <w:rFonts w:hint="eastAsia" w:ascii="仿宋" w:hAnsi="仿宋" w:eastAsia="仿宋" w:cs="仿宋"/>
          <w:sz w:val="32"/>
          <w:szCs w:val="32"/>
        </w:rPr>
        <w:t>代管焦作市城乡一体化示范区食品药品稽查大队下设李万、文苑、文昌、宁郭、阳庙、苏家作6个乡镇食药所。</w:t>
      </w:r>
    </w:p>
    <w:p>
      <w:pPr>
        <w:adjustRightInd w:val="0"/>
        <w:snapToGrid w:val="0"/>
        <w:spacing w:line="360" w:lineRule="auto"/>
        <w:ind w:firstLine="624" w:firstLineChars="200"/>
        <w:rPr>
          <w:rFonts w:ascii="仿宋_GB2312" w:hAnsi="仿宋_GB2312" w:eastAsia="仿宋_GB2312" w:cs="仿宋_GB2312"/>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焦作市食品药品监督管理局新区分局2018年度部门预算情况说明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焦作市食品药品监督管理局新区分局2018年收入499.57万元，支出总计499.57万元，与2017年相比，收、支总计各增加</w:t>
      </w:r>
      <w:r>
        <w:rPr>
          <w:rFonts w:hint="eastAsia" w:ascii="仿宋_GB2312" w:hAnsi="仿宋_GB2312" w:eastAsia="仿宋_GB2312" w:cs="仿宋_GB2312"/>
          <w:sz w:val="32"/>
          <w:szCs w:val="32"/>
          <w:lang w:val="en-US" w:eastAsia="zh-CN"/>
        </w:rPr>
        <w:t>172.18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34.47</w:t>
      </w:r>
      <w:r>
        <w:rPr>
          <w:rFonts w:hint="eastAsia" w:ascii="仿宋_GB2312" w:hAnsi="仿宋_GB2312" w:eastAsia="仿宋_GB2312" w:cs="仿宋_GB2312"/>
          <w:sz w:val="32"/>
          <w:szCs w:val="32"/>
        </w:rPr>
        <w:t>%。主要原因：</w:t>
      </w:r>
      <w:r>
        <w:rPr>
          <w:rFonts w:hint="eastAsia" w:ascii="仿宋" w:hAnsi="仿宋" w:eastAsia="仿宋" w:cs="仿宋"/>
          <w:sz w:val="32"/>
          <w:szCs w:val="32"/>
        </w:rPr>
        <w:t>人员经费增加和部分项目预算增加。</w:t>
      </w:r>
      <w:r>
        <w:rPr>
          <w:rFonts w:hint="eastAsia" w:ascii="Arial" w:hAnsi="Arial" w:eastAsia="仿宋_GB2312" w:cs="Arial"/>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焦作市食品药品监督管理局新区分局2018年收入合计499.57万元，其中：一般公共预算收入499.57万元; 政府性基金预</w:t>
      </w:r>
      <w:r>
        <w:rPr>
          <w:rFonts w:hint="eastAsia" w:ascii="Arial" w:hAnsi="Arial" w:eastAsia="仿宋_GB2312" w:cs="Arial"/>
          <w:sz w:val="32"/>
          <w:szCs w:val="32"/>
        </w:rPr>
        <w:t>算收入0万元；国有资本经营预算收入0万元；其他收入0万元。</w:t>
      </w:r>
      <w:r>
        <w:rPr>
          <w:rFonts w:hint="eastAsia" w:ascii="仿宋_GB2312" w:hAnsi="仿宋_GB2312" w:eastAsia="仿宋_GB2312" w:cs="仿宋_GB2312"/>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焦作市食品药品监督管理局新区分局2018年支出合计499.57万元，其中：基本支出239.63万元，占47.96%；项目支出259.94万元，占52.04%。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 w:hAnsi="仿宋" w:eastAsia="仿宋" w:cs="仿宋"/>
          <w:sz w:val="32"/>
          <w:szCs w:val="32"/>
        </w:rPr>
      </w:pPr>
      <w:r>
        <w:rPr>
          <w:rFonts w:hint="eastAsia" w:ascii="仿宋_GB2312" w:hAnsi="仿宋_GB2312" w:eastAsia="仿宋_GB2312" w:cs="仿宋_GB2312"/>
          <w:sz w:val="32"/>
          <w:szCs w:val="32"/>
        </w:rPr>
        <w:t>焦作市食品药品监督管理局新区分局</w:t>
      </w:r>
      <w:r>
        <w:rPr>
          <w:rFonts w:hint="eastAsia" w:ascii="仿宋" w:hAnsi="仿宋" w:eastAsia="仿宋" w:cs="仿宋"/>
          <w:sz w:val="32"/>
          <w:szCs w:val="32"/>
        </w:rPr>
        <w:t>2018年收入合计</w:t>
      </w:r>
      <w:r>
        <w:rPr>
          <w:rFonts w:hint="eastAsia" w:ascii="仿宋_GB2312" w:hAnsi="仿宋_GB2312" w:eastAsia="仿宋_GB2312" w:cs="仿宋_GB2312"/>
          <w:sz w:val="32"/>
          <w:szCs w:val="32"/>
        </w:rPr>
        <w:t>499.57万元</w:t>
      </w:r>
      <w:r>
        <w:rPr>
          <w:rFonts w:hint="eastAsia" w:ascii="仿宋" w:hAnsi="仿宋" w:eastAsia="仿宋" w:cs="仿宋"/>
          <w:sz w:val="32"/>
          <w:szCs w:val="32"/>
        </w:rPr>
        <w:t>万元，其中：一般公共预算收入</w:t>
      </w:r>
      <w:r>
        <w:rPr>
          <w:rFonts w:hint="eastAsia" w:ascii="仿宋_GB2312" w:hAnsi="仿宋_GB2312" w:eastAsia="仿宋_GB2312" w:cs="仿宋_GB2312"/>
          <w:sz w:val="32"/>
          <w:szCs w:val="32"/>
        </w:rPr>
        <w:t>499.57万元</w:t>
      </w:r>
      <w:r>
        <w:rPr>
          <w:rFonts w:hint="eastAsia" w:ascii="仿宋" w:hAnsi="仿宋" w:eastAsia="仿宋" w:cs="仿宋"/>
          <w:sz w:val="32"/>
          <w:szCs w:val="32"/>
        </w:rPr>
        <w:t>万元;政府性基金预算收入0万元；国有资本经营预算收入0万元；其他收入0万元。</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spacing w:line="360" w:lineRule="auto"/>
        <w:ind w:firstLine="624" w:firstLineChars="200"/>
        <w:rPr>
          <w:rFonts w:ascii="仿宋" w:hAnsi="仿宋" w:eastAsia="仿宋" w:cs="仿宋"/>
          <w:sz w:val="32"/>
          <w:szCs w:val="32"/>
        </w:rPr>
      </w:pPr>
      <w:r>
        <w:rPr>
          <w:rFonts w:hint="eastAsia" w:ascii="仿宋_GB2312" w:hAnsi="仿宋_GB2312" w:eastAsia="仿宋_GB2312" w:cs="仿宋_GB2312"/>
          <w:sz w:val="32"/>
          <w:szCs w:val="32"/>
        </w:rPr>
        <w:t>焦作市食品药品监督管理局新区分局</w:t>
      </w:r>
      <w:r>
        <w:rPr>
          <w:rFonts w:hint="eastAsia" w:ascii="仿宋" w:hAnsi="仿宋" w:eastAsia="仿宋" w:cs="仿宋"/>
          <w:sz w:val="32"/>
          <w:szCs w:val="32"/>
        </w:rPr>
        <w:t>2018年支出合计</w:t>
      </w:r>
      <w:r>
        <w:rPr>
          <w:rFonts w:hint="eastAsia" w:ascii="仿宋_GB2312" w:hAnsi="仿宋_GB2312" w:eastAsia="仿宋_GB2312" w:cs="仿宋_GB2312"/>
          <w:sz w:val="32"/>
          <w:szCs w:val="32"/>
        </w:rPr>
        <w:t>499.57</w:t>
      </w:r>
      <w:r>
        <w:rPr>
          <w:rFonts w:hint="eastAsia" w:ascii="仿宋" w:hAnsi="仿宋" w:eastAsia="仿宋" w:cs="仿宋"/>
          <w:sz w:val="32"/>
          <w:szCs w:val="32"/>
        </w:rPr>
        <w:t xml:space="preserve">万元，其中：基本支出239.63万元，占48%；项目支出259.94万元，占52%。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焦作市食品药品监督管理局新区分局2018年一般公共预算基本支出239.63万元，其中：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kern w:val="0"/>
          <w:sz w:val="32"/>
          <w:szCs w:val="32"/>
        </w:rPr>
        <w:t>230.33</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主要包括</w:t>
      </w:r>
      <w:r>
        <w:rPr>
          <w:rFonts w:hint="eastAsia" w:ascii="仿宋_GB2312" w:hAnsi="仿宋_GB2312" w:eastAsia="仿宋_GB2312" w:cs="仿宋_GB2312"/>
          <w:b/>
          <w:bCs/>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基本工资、津贴补贴、奖金、绩效工资、机关事业单位基本养老保险缴费、职业年金缴费、医疗保险缴费、其他社会保障缴费、住房公积金、其他工资福利支出其他对个人和家庭的补助支出；</w:t>
      </w:r>
      <w:r>
        <w:rPr>
          <w:rFonts w:hint="eastAsia" w:ascii="仿宋_GB2312" w:hAnsi="仿宋_GB2312" w:eastAsia="仿宋_GB2312" w:cs="仿宋_GB2312"/>
          <w:b/>
          <w:bCs/>
          <w:kern w:val="0"/>
          <w:sz w:val="32"/>
          <w:szCs w:val="32"/>
        </w:rPr>
        <w:t>公用经费9.3万元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主要包括：</w:t>
      </w:r>
      <w:r>
        <w:rPr>
          <w:rFonts w:hint="eastAsia" w:ascii="仿宋_GB2312" w:hAnsi="仿宋_GB2312" w:eastAsia="仿宋_GB2312" w:cs="仿宋_GB2312"/>
          <w:kern w:val="0"/>
          <w:sz w:val="32"/>
          <w:szCs w:val="32"/>
          <w:shd w:val="clear" w:color="auto" w:fill="FFFFFF"/>
        </w:rPr>
        <w:t>办公费、</w:t>
      </w:r>
      <w:r>
        <w:rPr>
          <w:rFonts w:hint="eastAsia" w:ascii="仿宋_GB2312" w:hAnsi="仿宋_GB2312" w:eastAsia="仿宋_GB2312" w:cs="仿宋_GB2312"/>
          <w:kern w:val="0"/>
          <w:sz w:val="32"/>
          <w:szCs w:val="32"/>
        </w:rPr>
        <w:t>印刷费、咨询费、手续费、水费、电费、邮电费、取暖费、物业管理费、差旅费、因公出国（境）费、维修（护）费、租赁费、会议费、培训费、公务接待费、专用材料费、劳务费、委托业务费、福利费、公务用车运行维护费、其他交通费用、其他商品和服务支出、办公设备购置、专用设备购置、基础设施建设、信息网络及软件购置更新、其他资本性支出和其他支出。</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560" w:lineRule="exact"/>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560" w:lineRule="exact"/>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560" w:lineRule="exact"/>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我单位2018年没有使用政国有资本经营预算拨款安排的支出</w:t>
      </w:r>
      <w:r>
        <w:rPr>
          <w:rFonts w:hint="eastAsia" w:ascii="仿宋_GB2312" w:hAnsi="仿宋_GB2312" w:eastAsia="仿宋_GB2312" w:cs="仿宋_GB2312"/>
          <w:kern w:val="0"/>
          <w:sz w:val="32"/>
          <w:szCs w:val="32"/>
        </w:rPr>
        <w:t>。</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焦作市食品药品监督管理局新区分局2018 年“三公”经费预算为</w:t>
      </w:r>
      <w:r>
        <w:rPr>
          <w:rFonts w:hint="eastAsia" w:ascii="仿宋_GB2312" w:hAnsi="仿宋_GB2312" w:eastAsia="仿宋_GB2312" w:cs="仿宋_GB2312"/>
          <w:kern w:val="0"/>
          <w:sz w:val="32"/>
          <w:szCs w:val="32"/>
          <w:lang w:val="en-US" w:eastAsia="zh-CN"/>
        </w:rPr>
        <w:t>6.78</w:t>
      </w:r>
      <w:r>
        <w:rPr>
          <w:rFonts w:hint="eastAsia" w:ascii="仿宋_GB2312" w:hAnsi="仿宋_GB2312" w:eastAsia="仿宋_GB2312" w:cs="仿宋_GB2312"/>
          <w:sz w:val="32"/>
          <w:szCs w:val="32"/>
        </w:rPr>
        <w:t>万元，与 2017年持平。</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bookmarkStart w:id="0" w:name="_GoBack"/>
      <w:bookmarkEnd w:id="0"/>
    </w:p>
    <w:p>
      <w:pPr>
        <w:numPr>
          <w:ilvl w:val="0"/>
          <w:numId w:val="2"/>
        </w:numPr>
        <w:kinsoku w:val="0"/>
        <w:overflowPunct w:val="0"/>
        <w:autoSpaceDE w:val="0"/>
        <w:autoSpaceDN w:val="0"/>
        <w:adjustRightInd w:val="0"/>
        <w:snapToGrid w:val="0"/>
        <w:spacing w:line="360" w:lineRule="auto"/>
        <w:ind w:firstLine="620" w:firstLineChars="200"/>
        <w:rPr>
          <w:rFonts w:hint="eastAsia"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万元，与 2017年持平。</w:t>
      </w:r>
    </w:p>
    <w:p>
      <w:pPr>
        <w:numPr>
          <w:ilvl w:val="0"/>
          <w:numId w:val="2"/>
        </w:numPr>
        <w:kinsoku w:val="0"/>
        <w:overflowPunct w:val="0"/>
        <w:autoSpaceDE w:val="0"/>
        <w:autoSpaceDN w:val="0"/>
        <w:adjustRightInd w:val="0"/>
        <w:snapToGrid w:val="0"/>
        <w:spacing w:line="560" w:lineRule="exact"/>
        <w:ind w:firstLine="62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5.6</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元，其中公务车辆购置费</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 xml:space="preserve">万元，公务用车运行维护费 </w:t>
      </w:r>
      <w:r>
        <w:rPr>
          <w:rFonts w:hint="eastAsia" w:ascii="仿宋_GB2312" w:hAnsi="仿宋_GB2312" w:eastAsia="仿宋_GB2312" w:cs="仿宋_GB2312"/>
          <w:kern w:val="0"/>
          <w:sz w:val="32"/>
          <w:szCs w:val="32"/>
          <w:lang w:val="en-US" w:eastAsia="zh-CN"/>
        </w:rPr>
        <w:t>5.6</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，与 2017年持平。主要用于</w:t>
      </w:r>
      <w:r>
        <w:rPr>
          <w:rFonts w:hint="eastAsia" w:ascii="仿宋_GB2312" w:hAnsi="仿宋_GB2312" w:eastAsia="仿宋_GB2312" w:cs="仿宋_GB2312"/>
          <w:kern w:val="0"/>
          <w:sz w:val="32"/>
          <w:szCs w:val="32"/>
        </w:rPr>
        <w:t>车辆运行维护。</w:t>
      </w:r>
    </w:p>
    <w:p>
      <w:pPr>
        <w:kinsoku w:val="0"/>
        <w:overflowPunct w:val="0"/>
        <w:autoSpaceDE w:val="0"/>
        <w:autoSpaceDN w:val="0"/>
        <w:adjustRightInd w:val="0"/>
        <w:snapToGrid w:val="0"/>
        <w:spacing w:line="560" w:lineRule="exact"/>
        <w:ind w:left="621"/>
        <w:outlineLvl w:val="0"/>
        <w:rPr>
          <w:rFonts w:ascii="仿宋" w:hAnsi="仿宋" w:eastAsia="仿宋" w:cs="仿宋"/>
          <w:sz w:val="32"/>
          <w:szCs w:val="32"/>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.18</w:t>
      </w:r>
      <w:r>
        <w:rPr>
          <w:rFonts w:hint="eastAsia" w:ascii="仿宋_GB2312" w:hAnsi="仿宋_GB2312" w:eastAsia="仿宋_GB2312" w:cs="仿宋_GB2312"/>
          <w:sz w:val="32"/>
          <w:szCs w:val="32"/>
        </w:rPr>
        <w:t>万元，与 2017年持平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主要用于</w:t>
      </w:r>
      <w:r>
        <w:rPr>
          <w:rFonts w:hint="eastAsia" w:ascii="仿宋_GB2312" w:hAnsi="仿宋_GB2312" w:eastAsia="仿宋_GB2312" w:cs="仿宋_GB2312"/>
          <w:kern w:val="0"/>
          <w:sz w:val="32"/>
          <w:szCs w:val="32"/>
        </w:rPr>
        <w:t>单位加班误餐费用</w:t>
      </w:r>
      <w:r>
        <w:rPr>
          <w:rFonts w:hint="eastAsia" w:ascii="仿宋_GB2312" w:hAnsi="仿宋_GB2312" w:eastAsia="仿宋_GB2312" w:cs="仿宋_GB2312"/>
          <w:sz w:val="32"/>
          <w:szCs w:val="32"/>
        </w:rPr>
        <w:t>。</w:t>
      </w:r>
      <w:r>
        <w:rPr>
          <w:rFonts w:hint="eastAsia" w:ascii="仿宋" w:hAnsi="仿宋" w:eastAsia="仿宋" w:cs="仿宋"/>
          <w:kern w:val="0"/>
          <w:sz w:val="32"/>
          <w:szCs w:val="32"/>
        </w:rPr>
        <w:t>主要原因：</w:t>
      </w:r>
      <w:r>
        <w:rPr>
          <w:rFonts w:hint="eastAsia" w:ascii="仿宋_GB2312" w:hAnsi="仿宋_GB2312" w:eastAsia="仿宋_GB2312" w:cs="仿宋_GB2312"/>
          <w:sz w:val="32"/>
          <w:szCs w:val="32"/>
          <w:shd w:val="clear" w:color="080000" w:fill="FFFFFF"/>
        </w:rPr>
        <w:t>深入贯彻中央“八项规定”精神等工作要求，大力压缩</w:t>
      </w:r>
      <w:r>
        <w:rPr>
          <w:rFonts w:hint="eastAsia" w:ascii="仿宋" w:hAnsi="仿宋" w:eastAsia="仿宋" w:cs="仿宋"/>
          <w:sz w:val="32"/>
          <w:szCs w:val="32"/>
        </w:rPr>
        <w:t>“三公”经费。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焦作市食品药品监督管理局新区分局2018年机关运行经费支出预算</w:t>
      </w:r>
      <w:r>
        <w:rPr>
          <w:rFonts w:hint="eastAsia" w:ascii="仿宋_GB2312" w:hAnsi="仿宋_GB2312" w:eastAsia="仿宋_GB2312" w:cs="仿宋_GB2312"/>
          <w:kern w:val="0"/>
          <w:sz w:val="32"/>
          <w:szCs w:val="32"/>
        </w:rPr>
        <w:t>9.3</w:t>
      </w:r>
      <w:r>
        <w:rPr>
          <w:rFonts w:hint="eastAsia" w:ascii="仿宋_GB2312" w:hAnsi="仿宋_GB2312" w:eastAsia="仿宋_GB2312" w:cs="仿宋_GB2312"/>
          <w:sz w:val="32"/>
          <w:szCs w:val="32"/>
        </w:rPr>
        <w:t>万元，主要保障机关机构正常运转及正常履职需要的办公费、水电费、维修费、差旅费等支出，比2017年减少2.16</w:t>
      </w:r>
      <w:r>
        <w:rPr>
          <w:rFonts w:hint="eastAsia" w:ascii="仿宋_GB2312" w:hAnsi="仿宋_GB2312" w:eastAsia="仿宋_GB2312" w:cs="仿宋_GB2312"/>
          <w:kern w:val="0"/>
          <w:sz w:val="32"/>
          <w:szCs w:val="32"/>
        </w:rPr>
        <w:t>万元，下降18.84%，</w:t>
      </w:r>
      <w:r>
        <w:rPr>
          <w:rFonts w:hint="eastAsia" w:ascii="仿宋" w:hAnsi="仿宋" w:eastAsia="仿宋" w:cs="仿宋"/>
          <w:kern w:val="0"/>
          <w:sz w:val="32"/>
          <w:szCs w:val="32"/>
        </w:rPr>
        <w:t>主要原因：</w:t>
      </w:r>
      <w:r>
        <w:rPr>
          <w:rFonts w:hint="eastAsia" w:ascii="仿宋_GB2312" w:hAnsi="仿宋_GB2312" w:eastAsia="仿宋_GB2312" w:cs="仿宋_GB2312"/>
          <w:sz w:val="32"/>
          <w:szCs w:val="32"/>
          <w:shd w:val="clear" w:color="080000" w:fill="FFFFFF"/>
        </w:rPr>
        <w:t>深入贯彻中央“八项规定”精神等工作要求，严格控制行政成本，大力压缩经费支出</w:t>
      </w:r>
      <w:r>
        <w:rPr>
          <w:rFonts w:hint="eastAsia" w:ascii="仿宋_GB2312" w:hAnsi="仿宋_GB2312" w:eastAsia="仿宋_GB2312" w:cs="仿宋_GB2312"/>
          <w:kern w:val="0"/>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2017年,我部门对食品药品安全抽检1个项目进行了预算绩效评价，涉及资金18万元。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w:t>
      </w:r>
      <w:r>
        <w:rPr>
          <w:rFonts w:hint="eastAsia" w:ascii="仿宋_GB2312" w:hAnsi="仿宋_GB2312" w:eastAsia="仿宋_GB2312" w:cs="仿宋_GB2312"/>
          <w:kern w:val="0"/>
          <w:sz w:val="32"/>
          <w:szCs w:val="32"/>
        </w:rPr>
        <w:t>499.57</w:t>
      </w:r>
      <w:r>
        <w:rPr>
          <w:rFonts w:hint="eastAsia" w:ascii="仿宋_GB2312" w:hAnsi="仿宋_GB2312" w:eastAsia="仿宋_GB2312" w:cs="仿宋_GB2312"/>
          <w:sz w:val="32"/>
          <w:szCs w:val="32"/>
        </w:rPr>
        <w:t>万元，其中人员经费支出</w:t>
      </w:r>
      <w:r>
        <w:rPr>
          <w:rFonts w:hint="eastAsia" w:ascii="仿宋_GB2312" w:hAnsi="仿宋_GB2312" w:eastAsia="仿宋_GB2312" w:cs="仿宋_GB2312"/>
          <w:kern w:val="0"/>
          <w:sz w:val="32"/>
          <w:szCs w:val="32"/>
        </w:rPr>
        <w:t>230.33</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kern w:val="0"/>
          <w:sz w:val="32"/>
          <w:szCs w:val="32"/>
        </w:rPr>
        <w:t>9.3</w:t>
      </w:r>
      <w:r>
        <w:rPr>
          <w:rFonts w:hint="eastAsia" w:ascii="仿宋_GB2312" w:hAnsi="仿宋_GB2312" w:eastAsia="仿宋_GB2312" w:cs="仿宋_GB2312"/>
          <w:sz w:val="32"/>
          <w:szCs w:val="32"/>
        </w:rPr>
        <w:t>万元，支出项目共</w:t>
      </w:r>
      <w:r>
        <w:rPr>
          <w:rFonts w:hint="eastAsia" w:ascii="仿宋_GB2312" w:hAnsi="仿宋_GB2312" w:eastAsia="仿宋_GB2312" w:cs="仿宋_GB2312"/>
          <w:kern w:val="0"/>
          <w:sz w:val="32"/>
          <w:szCs w:val="32"/>
        </w:rPr>
        <w:t>14</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259.94</w:t>
      </w:r>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sz w:val="32"/>
          <w:szCs w:val="32"/>
        </w:rPr>
        <w:t xml:space="preserve">万元。 </w:t>
      </w:r>
    </w:p>
    <w:p>
      <w:pPr>
        <w:ind w:left="404" w:left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w:t>
      </w:r>
      <w:r>
        <w:rPr>
          <w:rFonts w:hint="eastAsia" w:ascii="仿宋_GB2312" w:hAnsi="仿宋_GB2312" w:eastAsia="仿宋_GB2312" w:cs="仿宋_GB2312"/>
          <w:sz w:val="32"/>
          <w:szCs w:val="32"/>
        </w:rPr>
        <w:t>焦作市食品药品监督管理局新区分局</w:t>
      </w:r>
      <w:r>
        <w:rPr>
          <w:rFonts w:hint="eastAsia" w:ascii="仿宋_GB2312" w:hAnsi="仿宋_GB2312" w:eastAsia="仿宋_GB2312" w:cs="仿宋_GB2312"/>
          <w:kern w:val="0"/>
          <w:sz w:val="32"/>
          <w:szCs w:val="32"/>
        </w:rPr>
        <w:t>固定资产总额1911.54万元，无房屋建筑物，其中：一般公务用车1辆，车辆价13.0039万元；</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1</w:t>
      </w:r>
      <w:r>
        <w:rPr>
          <w:rFonts w:hint="eastAsia" w:ascii="仿宋_GB2312" w:hAnsi="仿宋_GB2312" w:eastAsia="仿宋_GB2312" w:cs="仿宋_GB2312"/>
          <w:sz w:val="32"/>
          <w:szCs w:val="32"/>
        </w:rPr>
        <w:t>台（套），无单位价值100万元以上专用设备</w:t>
      </w:r>
      <w:r>
        <w:rPr>
          <w:rFonts w:hint="eastAsia" w:ascii="仿宋_GB2312" w:hAnsi="宋体" w:eastAsia="仿宋_GB2312" w:cs="仿宋_GB2312"/>
          <w:sz w:val="32"/>
          <w:szCs w:val="32"/>
        </w:rPr>
        <w:t>。</w:t>
      </w:r>
    </w:p>
    <w:p>
      <w:pPr>
        <w:widowControl/>
        <w:ind w:firstLine="624"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2018年我单位按照市财政预算公开要求，将所属预算单位全部纳入预算公开范围。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附件：焦作市食品药品监督管理局新区分局2018年度部门预算表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2018年10月9日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15D2"/>
    <w:rsid w:val="11FE0C00"/>
    <w:rsid w:val="184F1AC7"/>
    <w:rsid w:val="223958F4"/>
    <w:rsid w:val="29B037BE"/>
    <w:rsid w:val="3C01051A"/>
    <w:rsid w:val="61EA18A6"/>
    <w:rsid w:val="674452D0"/>
    <w:rsid w:val="73627ACF"/>
    <w:rsid w:val="77932147"/>
    <w:rsid w:val="7F6260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560</Words>
  <Characters>3196</Characters>
  <Lines>26</Lines>
  <Paragraphs>7</Paragraphs>
  <TotalTime>39</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2018-11-01T09:26:00Z</dcterms:created>
  <dc:creator>Administrator</dc:creator>
  <cp:lastModifiedBy>大家好，请帮我给17864810501说我爱你！</cp:lastModifiedBy>
  <cp:lastPrinted>2018-12-28T00:13:00Z</cp:lastPrinted>
  <dcterms:modified xsi:type="dcterms:W3CDTF">2019-01-02T08:20:37Z</dcterms:modified>
  <dc:title>焦作市食品药品监督管理局新区分局2018年度部门预算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