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焦作市城乡一体化示范区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环境监察大队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2018年度部门预算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adjustRightInd w:val="0"/>
        <w:snapToGrid w:val="0"/>
        <w:spacing w:line="360" w:lineRule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2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区环境监察大队2018年部门预算情况说明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区环境监察大队2018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32" w:firstLineChars="1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7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7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7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焦作市城乡一体化示范区环境监察大队概况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2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机构设置情况</w:t>
      </w:r>
    </w:p>
    <w:p>
      <w:pPr>
        <w:spacing w:line="540" w:lineRule="exact"/>
        <w:ind w:firstLine="622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焦作市城乡一体化示范区环境监察大队（以下简称区环境监察大队）隶属于焦作市城乡一体化示范区国土建设环保局领导，财政全供事业单位，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规格为副科级，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核定人员编制8名，实有在编人员7名。</w:t>
      </w:r>
    </w:p>
    <w:p>
      <w:pPr>
        <w:spacing w:line="540" w:lineRule="exact"/>
        <w:ind w:firstLine="622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numPr>
          <w:ilvl w:val="0"/>
          <w:numId w:val="3"/>
        </w:numPr>
        <w:kinsoku w:val="0"/>
        <w:overflowPunct w:val="0"/>
        <w:adjustRightInd w:val="0"/>
        <w:snapToGrid w:val="0"/>
        <w:spacing w:line="360" w:lineRule="auto"/>
        <w:ind w:right="3569" w:firstLine="622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部门职责</w:t>
      </w:r>
    </w:p>
    <w:p>
      <w:pPr>
        <w:spacing w:line="540" w:lineRule="exact"/>
        <w:ind w:firstLine="622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中共焦作新区工委焦作新区管委会关于增设区属事业单位的通知》（焦新党文[2012]56号）文件：区环境监察大队负责贯彻执行国家和地方环境保护的有关法律、法规，依法对辖区内单位或个人执行环境保护的情况进行现场监督、检查，并按规定进行处理；负责污水、废气、固体废物、噪声、放射性物质等排污费的征收工作；负责参与环境污染事故、纠纷的调查处理；负责自然生态和农业生态保护监察等工作。</w:t>
      </w:r>
    </w:p>
    <w:p>
      <w:pPr>
        <w:spacing w:line="540" w:lineRule="exact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Microsoft Sans Serif" w:eastAsia="仿宋_GB2312" w:cs="Microsoft Sans Serif"/>
          <w:color w:val="FF000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hAnsi="Microsoft Sans Serif" w:eastAsia="仿宋_GB2312" w:cs="Microsoft Sans Serif"/>
          <w:color w:val="auto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仿宋_GB2312" w:hAnsi="Microsoft Sans Serif" w:eastAsia="仿宋_GB2312" w:cs="Microsoft Sans Serif"/>
          <w:color w:val="auto"/>
          <w:sz w:val="32"/>
          <w:szCs w:val="32"/>
          <w:shd w:val="clear" w:color="auto" w:fill="FFFFFF"/>
        </w:rPr>
        <w:t>《中华人民共和国环境保护税法》于2018年1月1日起正式施行，现行征收的排污费将改征环境保护税，但纳税单位的环境保护税的污染物排放核定等工作仍在我单位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；在实际工作中，区环境监察大队承担着示范区环保局的相关职责，本预算中包含部分示范区环保工作预算。</w:t>
      </w:r>
    </w:p>
    <w:p>
      <w:pPr>
        <w:widowControl/>
        <w:shd w:val="clear" w:color="auto" w:fill="FFFFFF"/>
        <w:spacing w:line="450" w:lineRule="atLeast"/>
        <w:ind w:firstLine="3427" w:firstLineChars="1102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2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区环境监察大队预算单位构成</w:t>
      </w:r>
    </w:p>
    <w:p>
      <w:pPr>
        <w:numPr>
          <w:numId w:val="0"/>
        </w:numPr>
        <w:adjustRightInd w:val="0"/>
        <w:snapToGrid w:val="0"/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区环境监察大队为一级预算单位，无下属二级单位。</w:t>
      </w:r>
    </w:p>
    <w:p>
      <w:pPr>
        <w:widowControl/>
        <w:shd w:val="clear" w:color="auto" w:fill="FFFFFF"/>
        <w:spacing w:line="450" w:lineRule="atLeast"/>
        <w:ind w:firstLine="3427" w:firstLineChars="1102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2018年度部门预算情况说明</w:t>
      </w:r>
    </w:p>
    <w:p>
      <w:pPr>
        <w:adjustRightInd w:val="0"/>
        <w:snapToGrid w:val="0"/>
        <w:spacing w:line="360" w:lineRule="auto"/>
        <w:ind w:firstLine="62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区环境监察大队部门2018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年预算收入</w:t>
      </w:r>
      <w:r>
        <w:rPr>
          <w:rFonts w:hint="eastAsia" w:ascii="Arial" w:hAnsi="Arial" w:eastAsia="仿宋_GB2312" w:cs="Arial"/>
          <w:color w:val="auto"/>
          <w:sz w:val="32"/>
          <w:szCs w:val="32"/>
        </w:rPr>
        <w:t>193.44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支出总计</w:t>
      </w:r>
      <w:r>
        <w:rPr>
          <w:rFonts w:hint="eastAsia" w:ascii="Arial" w:hAnsi="Arial" w:eastAsia="仿宋_GB2312" w:cs="Arial"/>
          <w:sz w:val="32"/>
          <w:szCs w:val="32"/>
        </w:rPr>
        <w:t>193.44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万元，与2017年相比，收、支总计各增加</w:t>
      </w:r>
      <w:r>
        <w:rPr>
          <w:rFonts w:hint="eastAsia" w:ascii="Arial" w:hAnsi="Arial" w:eastAsia="仿宋_GB2312" w:cs="Arial"/>
          <w:sz w:val="32"/>
          <w:szCs w:val="32"/>
        </w:rPr>
        <w:t>129.95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</w:rPr>
        <w:t>2.05倍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1、基本支出增加，主要因为工资及保险调整引起；2</w:t>
      </w:r>
      <w:r>
        <w:rPr>
          <w:rFonts w:hint="eastAsia" w:ascii="仿宋_GB2312" w:hAnsi="仿宋_GB2312" w:eastAsia="仿宋_GB2312" w:cs="仿宋_GB2312"/>
          <w:sz w:val="32"/>
          <w:szCs w:val="32"/>
        </w:rPr>
        <w:t>、经管委会研究批准，区环境监察大队2018年增加劳务派遣人员10名，为此增加临时人员专项35万元，用于支付相应工资、办公设备、办公相应费用等支出；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因管委会机构不健全，没有环境监测机构，无法完成各种环境监测工作。经管委会同意，对第三方检测公司进行公开招标，由中标单位负责相应的环境监测工作，区环境监察大队负责支付检测费用，故增加排污费第三检测服务专项80万元。</w:t>
      </w:r>
    </w:p>
    <w:p>
      <w:pPr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区环境监察大队2018年收入合计</w:t>
      </w:r>
      <w:r>
        <w:rPr>
          <w:rFonts w:hint="eastAsia" w:ascii="Arial" w:hAnsi="Arial" w:eastAsia="仿宋_GB2312" w:cs="Arial"/>
          <w:sz w:val="32"/>
          <w:szCs w:val="32"/>
        </w:rPr>
        <w:t>193.44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万元，其中：一般公共预算收入</w:t>
      </w:r>
      <w:r>
        <w:rPr>
          <w:rFonts w:hint="eastAsia" w:ascii="Arial" w:hAnsi="Arial" w:eastAsia="仿宋_GB2312" w:cs="Arial"/>
          <w:sz w:val="32"/>
          <w:szCs w:val="32"/>
        </w:rPr>
        <w:t>193.44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万元; 政府性基金预算收入</w:t>
      </w:r>
      <w:r>
        <w:rPr>
          <w:rFonts w:hint="eastAsia" w:ascii="Arial" w:hAnsi="Arial" w:eastAsia="仿宋_GB2312" w:cs="Arial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万元；国有资本经营预算收入</w:t>
      </w:r>
      <w:r>
        <w:rPr>
          <w:rFonts w:hint="eastAsia" w:ascii="Arial" w:hAnsi="Arial" w:eastAsia="仿宋_GB2312" w:cs="Arial"/>
          <w:sz w:val="32"/>
          <w:szCs w:val="32"/>
        </w:rPr>
        <w:t>0万元；其他收入0万元。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2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2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区环境监察大队2018年支出合计</w:t>
      </w:r>
      <w:r>
        <w:rPr>
          <w:rFonts w:hint="eastAsia" w:ascii="Arial" w:hAnsi="Arial" w:eastAsia="仿宋_GB2312" w:cs="Arial"/>
          <w:sz w:val="32"/>
          <w:szCs w:val="32"/>
        </w:rPr>
        <w:t>193.44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</w:rPr>
        <w:t>72.44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</w:rPr>
        <w:t>37.45%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</w:rPr>
        <w:t>121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</w:rPr>
        <w:t>62.55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2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2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区环境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监察大队2018年一般公共预算收支预算</w:t>
      </w:r>
      <w:r>
        <w:rPr>
          <w:rFonts w:hint="eastAsia" w:ascii="Arial" w:hAnsi="Arial" w:eastAsia="仿宋_GB2312" w:cs="Arial"/>
          <w:color w:val="auto"/>
          <w:sz w:val="32"/>
          <w:szCs w:val="32"/>
        </w:rPr>
        <w:t>193.44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万元。政府性基金收支预算</w:t>
      </w:r>
      <w:r>
        <w:rPr>
          <w:rFonts w:hint="eastAsia" w:ascii="Arial" w:hAnsi="Arial" w:eastAsia="仿宋_GB2312" w:cs="Arial"/>
          <w:color w:val="auto"/>
          <w:sz w:val="32"/>
          <w:szCs w:val="32"/>
        </w:rPr>
        <w:t>0万元，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 2017年相比，一般公共预算收支预算增加</w:t>
      </w:r>
      <w:r>
        <w:rPr>
          <w:rFonts w:hint="eastAsia" w:ascii="Arial" w:hAnsi="Arial" w:eastAsia="仿宋_GB2312" w:cs="Arial"/>
          <w:color w:val="auto"/>
          <w:sz w:val="32"/>
          <w:szCs w:val="32"/>
        </w:rPr>
        <w:t>129.95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color w:val="auto"/>
          <w:sz w:val="32"/>
          <w:szCs w:val="32"/>
        </w:rPr>
        <w:t>2.05倍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1、基本支出增加，主要因为工资及保险调整引起；2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、经管委会研究批准，区环境监察大队2018年增加劳务派遣人员10名，为此增加临时人员专项35万元，用于支付相应工资、办公设备、办公相应费用等支出；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因管委会机构不健全，没有环境监测机构，无法完成各种环境监测工作。经管委会同意，对第三方检测公司进行公开招标，由中标单位负责相应的环境监测工作，区环境监察大队负责支付检测费用，故增加排污费第三检测服务专项80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。无政府性基金预算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22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区环境监察大队2018年一般公共预算支出年初预算为</w:t>
      </w:r>
      <w:r>
        <w:rPr>
          <w:rFonts w:hint="eastAsia" w:ascii="Arial" w:hAnsi="Arial" w:eastAsia="仿宋_GB2312" w:cs="Arial"/>
          <w:color w:val="auto"/>
          <w:sz w:val="32"/>
          <w:szCs w:val="32"/>
        </w:rPr>
        <w:t>193.44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教育支出0.6万元，占0.31%；节能环保支出192.84万元，占99.69%。</w:t>
      </w:r>
    </w:p>
    <w:p>
      <w:pPr>
        <w:spacing w:line="560" w:lineRule="exact"/>
        <w:ind w:firstLine="62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区环境监察大队2018年一般公共预算基本支出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72.44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68.83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，包含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工会经费、福利费等支出；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3.61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，主要包括：办公费、水费、电费、邮电费、差旅费、培训费、公务接待费、公务用车运行维护费等支出。</w:t>
      </w:r>
    </w:p>
    <w:p>
      <w:pPr>
        <w:spacing w:line="560" w:lineRule="exact"/>
        <w:ind w:firstLine="62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七、政府性基金预算支出预算情况说明</w:t>
      </w:r>
      <w:bookmarkStart w:id="0" w:name="_GoBack"/>
      <w:bookmarkEnd w:id="0"/>
    </w:p>
    <w:p>
      <w:pPr>
        <w:spacing w:line="560" w:lineRule="exact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区环境监察大队2018年没有使用政府性基金预算拨款安排的支出。</w:t>
      </w:r>
    </w:p>
    <w:p>
      <w:pPr>
        <w:spacing w:line="560" w:lineRule="exact"/>
        <w:ind w:firstLine="622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国有资本经营预算支出预算情况说明</w:t>
      </w:r>
    </w:p>
    <w:p>
      <w:pPr>
        <w:spacing w:line="560" w:lineRule="exact"/>
        <w:ind w:firstLine="622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区环境监察大队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2018年没有使用政国有资本经营预算拨款安排的支出。</w:t>
      </w:r>
    </w:p>
    <w:p>
      <w:pPr>
        <w:spacing w:line="560" w:lineRule="exact"/>
        <w:ind w:firstLine="622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九、“三公”经费支出预算情况说明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区环境监察大队2018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。与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2017年预算数相同。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万元。预算数比2017年减少（增加）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万元，下降（增长）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，主要原因：无支出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万元，比2017年减少（增减）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万元，较上年下降（增长）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0%，主要原因：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无购买车辆；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公务用车运行维护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,比2017年减少（增减）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万元，较上年下降（增长）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0%，主要原因：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2017预算数相同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2.06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主要用于公务接待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2017年预算数减少（增加）0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万元，下降（增长）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0%，主要原因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2017预算数相同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18" w:firstLineChars="200"/>
        <w:rPr>
          <w:rFonts w:ascii="仿宋_GB2312" w:hAnsi="仿宋_GB2312" w:eastAsia="仿宋_GB2312" w:cs="仿宋_GB2312"/>
          <w:spacing w:val="-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十、机关运行经费支出情况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区环境监察大队201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3.61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1.94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35%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，主要原因：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由于账目调整，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减少了特殊定额公用经费在机关运行经费中的支出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万元、政府采购工程预算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万元、政府采购服务预算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numId w:val="0"/>
        </w:numPr>
        <w:ind w:left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2017年，我部门对1个项目进行了预算绩效评价，涉及资金6</w:t>
      </w:r>
    </w:p>
    <w:p>
      <w:pPr>
        <w:numPr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万元。2018年，我部门纳入预算绩效管理的支出总额为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193.44万元，其中人员经费支出67.3万元，公用经费支出5.14万元，支出项目共3个，支出总额121万元，其中预算支出100万元及100万元以上项目0个。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</w:p>
    <w:p>
      <w:pPr>
        <w:numPr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区环境监察大队固定资产总额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7.79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0万元，车辆0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辆，执法执勤车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辆；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5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八、其他（专业性较强的需向社会做出说明的名词）</w:t>
      </w:r>
    </w:p>
    <w:p>
      <w:pPr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附件：2018年度部门预算表</w:t>
      </w:r>
    </w:p>
    <w:p>
      <w:pPr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2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2018年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2154" w:right="1474" w:bottom="1757" w:left="1587" w:header="851" w:footer="992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Calibri">
    <w:altName w:val="Lucida Sans"/>
    <w:panose1 w:val="020F0502020204030204"/>
    <w:charset w:val="00"/>
    <w:family w:val="auto"/>
    <w:pitch w:val="default"/>
    <w:sig w:usb0="A00002EF" w:usb1="4000207B" w:usb2="00000000" w:usb3="00000000" w:csb0="0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Cambria">
    <w:altName w:val="Palatino Linotype"/>
    <w:panose1 w:val="02040503050406030204"/>
    <w:charset w:val="00"/>
    <w:family w:val="auto"/>
    <w:pitch w:val="default"/>
    <w:sig w:usb0="A00002EF" w:usb1="4000004B" w:usb2="00000000" w:usb3="00000000" w:csb0="000000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36809034">
    <w:nsid w:val="5B99D84A"/>
    <w:multiLevelType w:val="singleLevel"/>
    <w:tmpl w:val="5B99D84A"/>
    <w:lvl w:ilvl="0" w:tentative="1">
      <w:start w:val="2"/>
      <w:numFmt w:val="chineseCounting"/>
      <w:suff w:val="nothing"/>
      <w:lvlText w:val="（%1）"/>
      <w:lvlJc w:val="left"/>
    </w:lvl>
  </w:abstractNum>
  <w:abstractNum w:abstractNumId="1536809001">
    <w:nsid w:val="5B99D829"/>
    <w:multiLevelType w:val="singleLevel"/>
    <w:tmpl w:val="5B99D829"/>
    <w:lvl w:ilvl="0" w:tentative="1">
      <w:start w:val="1"/>
      <w:numFmt w:val="chineseCounting"/>
      <w:suff w:val="nothing"/>
      <w:lvlText w:val="（%1）"/>
      <w:lvlJc w:val="left"/>
    </w:lvl>
  </w:abstractNum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517907436"/>
  </w:num>
  <w:num w:numId="2">
    <w:abstractNumId w:val="1536809001"/>
  </w:num>
  <w:num w:numId="3">
    <w:abstractNumId w:val="1536809034"/>
  </w:num>
  <w:num w:numId="4">
    <w:abstractNumId w:val="15151384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 Char"/>
    <w:basedOn w:val="4"/>
    <w:link w:val="3"/>
    <w:uiPriority w:val="0"/>
    <w:rPr>
      <w:rFonts w:ascii="Calibri" w:hAnsi="Calibri" w:cs="黑体"/>
      <w:kern w:val="2"/>
      <w:sz w:val="18"/>
      <w:szCs w:val="18"/>
    </w:rPr>
  </w:style>
  <w:style w:type="character" w:customStyle="1" w:styleId="6">
    <w:name w:val="页脚 Char Char"/>
    <w:basedOn w:val="4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7</Pages>
  <Words>394</Words>
  <Characters>2251</Characters>
  <Lines>18</Lines>
  <Paragraphs>5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2018-09-15T02:12:00Z</dcterms:created>
  <dc:creator>Administrator</dc:creator>
  <cp:lastModifiedBy>Administrator</cp:lastModifiedBy>
  <cp:lastPrinted>2018-08-06T00:36:00Z</cp:lastPrinted>
  <dcterms:modified xsi:type="dcterms:W3CDTF">2019-02-26T01:14:27Z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