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360" w:lineRule="auto"/>
        <w:ind w:left="0" w:right="0" w:firstLine="0"/>
        <w:jc w:val="left"/>
        <w:rPr>
          <w:color w:val="auto"/>
          <w:spacing w:val="0"/>
          <w:position w:val="0"/>
          <w:sz w:val="32"/>
          <w:shd w:val="clear" w:color="050000" w:fill="auto"/>
        </w:rPr>
      </w:pPr>
      <w:r>
        <w:rPr>
          <w:color w:val="auto"/>
          <w:spacing w:val="0"/>
          <w:position w:val="0"/>
          <w:sz w:val="32"/>
          <w:shd w:val="clear" w:color="050000" w:fill="auto"/>
        </w:rPr>
        <w:t>附件1：</w:t>
      </w:r>
    </w:p>
    <w:p>
      <w:pPr>
        <w:spacing w:before="0" w:after="0" w:line="240" w:lineRule="auto"/>
        <w:ind w:left="0" w:right="0" w:firstLine="0"/>
        <w:jc w:val="left"/>
        <w:rPr>
          <w:color w:val="auto"/>
          <w:spacing w:val="0"/>
          <w:position w:val="0"/>
          <w:sz w:val="28"/>
          <w:shd w:val="clear" w:color="050000" w:fill="auto"/>
        </w:rPr>
      </w:pPr>
    </w:p>
    <w:p>
      <w:pPr>
        <w:spacing w:before="0" w:after="0" w:line="240" w:lineRule="auto"/>
        <w:ind w:left="0" w:right="0" w:firstLine="0"/>
        <w:jc w:val="left"/>
        <w:rPr>
          <w:color w:val="auto"/>
          <w:spacing w:val="0"/>
          <w:position w:val="0"/>
          <w:sz w:val="28"/>
          <w:shd w:val="clear" w:color="050000" w:fill="auto"/>
        </w:rPr>
      </w:pPr>
    </w:p>
    <w:p>
      <w:pPr>
        <w:spacing w:before="0" w:after="0" w:line="240" w:lineRule="auto"/>
        <w:ind w:left="0" w:right="0" w:firstLine="0"/>
        <w:jc w:val="left"/>
        <w:rPr>
          <w:color w:val="auto"/>
          <w:spacing w:val="0"/>
          <w:position w:val="0"/>
          <w:sz w:val="28"/>
          <w:shd w:val="clear" w:color="050000" w:fill="auto"/>
        </w:rPr>
      </w:pPr>
    </w:p>
    <w:p>
      <w:pPr>
        <w:spacing w:before="0" w:after="0" w:line="240" w:lineRule="auto"/>
        <w:ind w:left="0" w:right="0" w:firstLine="0"/>
        <w:jc w:val="left"/>
        <w:rPr>
          <w:color w:val="auto"/>
          <w:spacing w:val="0"/>
          <w:position w:val="0"/>
          <w:sz w:val="28"/>
          <w:shd w:val="clear" w:color="050000" w:fill="auto"/>
        </w:rPr>
      </w:pPr>
    </w:p>
    <w:p>
      <w:pPr>
        <w:spacing w:before="0" w:after="0" w:line="240" w:lineRule="auto"/>
        <w:ind w:left="0" w:right="0" w:firstLine="0"/>
        <w:jc w:val="left"/>
        <w:rPr>
          <w:color w:val="auto"/>
          <w:spacing w:val="0"/>
          <w:position w:val="0"/>
          <w:sz w:val="28"/>
          <w:shd w:val="clear" w:color="050000" w:fill="auto"/>
        </w:rPr>
      </w:pPr>
    </w:p>
    <w:p>
      <w:pPr>
        <w:spacing w:before="0" w:after="0" w:line="240" w:lineRule="auto"/>
        <w:ind w:left="0" w:right="0" w:firstLine="0"/>
        <w:jc w:val="center"/>
        <w:rPr>
          <w:color w:val="auto"/>
          <w:spacing w:val="0"/>
          <w:position w:val="0"/>
          <w:sz w:val="52"/>
          <w:shd w:val="clear" w:color="050000" w:fill="auto"/>
        </w:rPr>
      </w:pPr>
      <w:r>
        <w:rPr>
          <w:color w:val="auto"/>
          <w:spacing w:val="0"/>
          <w:position w:val="0"/>
          <w:sz w:val="52"/>
          <w:shd w:val="clear" w:color="050000" w:fill="auto"/>
        </w:rPr>
        <w:t>焦作市城乡一体化示范区</w:t>
      </w:r>
    </w:p>
    <w:p>
      <w:pPr>
        <w:spacing w:before="0" w:after="0" w:line="240" w:lineRule="auto"/>
        <w:ind w:left="0" w:right="0" w:firstLine="0"/>
        <w:jc w:val="center"/>
        <w:rPr>
          <w:color w:val="auto"/>
          <w:spacing w:val="0"/>
          <w:position w:val="0"/>
          <w:sz w:val="52"/>
          <w:shd w:val="clear" w:color="050000" w:fill="auto"/>
        </w:rPr>
      </w:pPr>
      <w:r>
        <w:rPr>
          <w:color w:val="auto"/>
          <w:spacing w:val="0"/>
          <w:position w:val="0"/>
          <w:sz w:val="52"/>
          <w:shd w:val="clear" w:color="050000" w:fill="auto"/>
        </w:rPr>
        <w:t>组织人力资源社会保障局</w:t>
      </w:r>
    </w:p>
    <w:p>
      <w:pPr>
        <w:spacing w:before="0" w:after="0" w:line="240" w:lineRule="auto"/>
        <w:ind w:left="0" w:right="0" w:firstLine="0"/>
        <w:jc w:val="center"/>
        <w:rPr>
          <w:color w:val="auto"/>
          <w:spacing w:val="0"/>
          <w:position w:val="0"/>
          <w:sz w:val="52"/>
          <w:shd w:val="clear" w:color="050000" w:fill="auto"/>
        </w:rPr>
      </w:pPr>
      <w:r>
        <w:rPr>
          <w:color w:val="auto"/>
          <w:spacing w:val="0"/>
          <w:position w:val="0"/>
          <w:sz w:val="52"/>
          <w:shd w:val="clear" w:color="050000" w:fill="auto"/>
        </w:rPr>
        <w:t>2018年度部门预算</w:t>
      </w:r>
    </w:p>
    <w:p>
      <w:pPr>
        <w:spacing w:before="0" w:after="0" w:line="240" w:lineRule="auto"/>
        <w:ind w:left="0" w:right="0" w:firstLine="0"/>
        <w:jc w:val="center"/>
        <w:rPr>
          <w:color w:val="auto"/>
          <w:spacing w:val="0"/>
          <w:position w:val="0"/>
          <w:sz w:val="52"/>
          <w:shd w:val="clear" w:color="050000" w:fill="auto"/>
        </w:rPr>
      </w:pPr>
    </w:p>
    <w:p>
      <w:pPr>
        <w:spacing w:before="0" w:after="0" w:line="240" w:lineRule="auto"/>
        <w:ind w:left="0" w:right="0" w:firstLine="0"/>
        <w:jc w:val="center"/>
        <w:rPr>
          <w:color w:val="auto"/>
          <w:spacing w:val="0"/>
          <w:position w:val="0"/>
          <w:sz w:val="52"/>
          <w:shd w:val="clear" w:color="050000" w:fill="auto"/>
        </w:rPr>
      </w:pPr>
    </w:p>
    <w:p>
      <w:pPr>
        <w:spacing w:before="0" w:after="0" w:line="240" w:lineRule="auto"/>
        <w:ind w:left="0" w:right="0" w:firstLine="0"/>
        <w:jc w:val="center"/>
        <w:rPr>
          <w:color w:val="auto"/>
          <w:spacing w:val="0"/>
          <w:position w:val="0"/>
          <w:sz w:val="52"/>
          <w:shd w:val="clear" w:color="050000" w:fill="auto"/>
        </w:rPr>
      </w:pPr>
    </w:p>
    <w:p>
      <w:pPr>
        <w:spacing w:before="0" w:after="0" w:line="240" w:lineRule="auto"/>
        <w:ind w:left="0" w:right="0" w:firstLine="0"/>
        <w:jc w:val="center"/>
        <w:rPr>
          <w:color w:val="auto"/>
          <w:spacing w:val="0"/>
          <w:position w:val="0"/>
          <w:sz w:val="52"/>
          <w:shd w:val="clear" w:color="050000" w:fill="auto"/>
        </w:rPr>
      </w:pPr>
    </w:p>
    <w:p>
      <w:pPr>
        <w:spacing w:before="0" w:after="0" w:line="240" w:lineRule="auto"/>
        <w:ind w:left="0" w:right="0" w:firstLine="0"/>
        <w:jc w:val="center"/>
        <w:rPr>
          <w:color w:val="auto"/>
          <w:spacing w:val="0"/>
          <w:position w:val="0"/>
          <w:sz w:val="52"/>
          <w:shd w:val="clear" w:color="050000" w:fill="auto"/>
        </w:rPr>
      </w:pPr>
    </w:p>
    <w:p>
      <w:pPr>
        <w:spacing w:before="0" w:after="0" w:line="240" w:lineRule="auto"/>
        <w:ind w:left="0" w:right="0" w:firstLine="0"/>
        <w:jc w:val="center"/>
        <w:rPr>
          <w:color w:val="auto"/>
          <w:spacing w:val="0"/>
          <w:position w:val="0"/>
          <w:sz w:val="52"/>
          <w:shd w:val="clear" w:color="050000" w:fill="auto"/>
        </w:rPr>
      </w:pPr>
    </w:p>
    <w:p>
      <w:pPr>
        <w:spacing w:before="0" w:after="0" w:line="240" w:lineRule="auto"/>
        <w:ind w:left="0" w:right="0" w:firstLine="0"/>
        <w:jc w:val="center"/>
        <w:rPr>
          <w:color w:val="auto"/>
          <w:spacing w:val="0"/>
          <w:position w:val="0"/>
          <w:sz w:val="52"/>
          <w:shd w:val="clear" w:color="050000" w:fill="auto"/>
        </w:rPr>
      </w:pPr>
    </w:p>
    <w:p>
      <w:pPr>
        <w:spacing w:before="0" w:after="0" w:line="240" w:lineRule="auto"/>
        <w:ind w:left="0" w:right="0" w:firstLine="0"/>
        <w:jc w:val="center"/>
        <w:rPr>
          <w:color w:val="auto"/>
          <w:spacing w:val="0"/>
          <w:position w:val="0"/>
          <w:sz w:val="52"/>
          <w:shd w:val="clear" w:color="050000" w:fill="auto"/>
        </w:rPr>
      </w:pPr>
    </w:p>
    <w:p>
      <w:pPr>
        <w:spacing w:before="0" w:after="0" w:line="240" w:lineRule="auto"/>
        <w:ind w:left="0" w:right="0" w:firstLine="0"/>
        <w:jc w:val="center"/>
        <w:rPr>
          <w:color w:val="auto"/>
          <w:spacing w:val="0"/>
          <w:position w:val="0"/>
          <w:sz w:val="52"/>
          <w:shd w:val="clear" w:color="050000" w:fill="auto"/>
        </w:rPr>
      </w:pPr>
    </w:p>
    <w:p>
      <w:pPr>
        <w:spacing w:before="0" w:after="0" w:line="240" w:lineRule="auto"/>
        <w:ind w:left="0" w:right="0" w:firstLine="0"/>
        <w:jc w:val="center"/>
        <w:rPr>
          <w:color w:val="auto"/>
          <w:spacing w:val="0"/>
          <w:position w:val="0"/>
          <w:sz w:val="52"/>
          <w:shd w:val="clear" w:color="050000" w:fill="auto"/>
        </w:rPr>
      </w:pPr>
    </w:p>
    <w:p>
      <w:pPr>
        <w:spacing w:before="0" w:after="0" w:line="240" w:lineRule="auto"/>
        <w:ind w:left="0" w:right="0" w:firstLine="0"/>
        <w:jc w:val="center"/>
        <w:rPr>
          <w:color w:val="auto"/>
          <w:spacing w:val="0"/>
          <w:position w:val="0"/>
          <w:sz w:val="52"/>
          <w:shd w:val="clear" w:color="050000" w:fill="auto"/>
        </w:rPr>
      </w:pPr>
    </w:p>
    <w:p>
      <w:pPr>
        <w:spacing w:before="0" w:after="0" w:line="360" w:lineRule="auto"/>
        <w:ind w:left="0" w:right="0" w:firstLine="0"/>
        <w:jc w:val="center"/>
        <w:rPr>
          <w:color w:val="auto"/>
          <w:spacing w:val="0"/>
          <w:position w:val="0"/>
          <w:sz w:val="44"/>
          <w:shd w:val="clear" w:color="050000" w:fill="auto"/>
        </w:rPr>
      </w:pPr>
    </w:p>
    <w:p>
      <w:pPr>
        <w:spacing w:before="0" w:after="0" w:line="360" w:lineRule="auto"/>
        <w:ind w:left="0" w:right="0" w:firstLine="0"/>
        <w:jc w:val="both"/>
        <w:rPr>
          <w:color w:val="auto"/>
          <w:spacing w:val="0"/>
          <w:position w:val="0"/>
          <w:sz w:val="44"/>
          <w:shd w:val="clear" w:color="050000" w:fill="auto"/>
        </w:rPr>
      </w:pPr>
    </w:p>
    <w:p>
      <w:pPr>
        <w:spacing w:before="0" w:after="0" w:line="360" w:lineRule="auto"/>
        <w:ind w:left="101" w:right="3569" w:firstLine="624"/>
        <w:jc w:val="both"/>
        <w:rPr>
          <w:color w:val="auto"/>
          <w:spacing w:val="0"/>
          <w:position w:val="0"/>
          <w:sz w:val="32"/>
          <w:shd w:val="clear" w:color="050000" w:fill="auto"/>
        </w:rPr>
      </w:pPr>
    </w:p>
    <w:p>
      <w:pPr>
        <w:spacing w:before="0" w:after="0" w:line="360" w:lineRule="auto"/>
        <w:ind w:left="-142" w:right="51" w:firstLine="30"/>
        <w:jc w:val="center"/>
        <w:rPr>
          <w:color w:val="auto"/>
          <w:spacing w:val="0"/>
          <w:position w:val="0"/>
          <w:sz w:val="44"/>
          <w:shd w:val="clear" w:color="050000" w:fill="auto"/>
        </w:rPr>
      </w:pPr>
      <w:r>
        <w:rPr>
          <w:color w:val="auto"/>
          <w:spacing w:val="0"/>
          <w:position w:val="0"/>
          <w:sz w:val="44"/>
          <w:shd w:val="clear" w:color="050000" w:fill="auto"/>
        </w:rPr>
        <w:t>目</w:t>
      </w:r>
      <w:r>
        <w:rPr>
          <w:color w:val="auto"/>
          <w:spacing w:val="2"/>
          <w:position w:val="0"/>
          <w:sz w:val="44"/>
          <w:shd w:val="clear" w:color="050000" w:fill="auto"/>
        </w:rPr>
        <w:t xml:space="preserve"> </w:t>
      </w:r>
      <w:r>
        <w:rPr>
          <w:color w:val="auto"/>
          <w:spacing w:val="0"/>
          <w:position w:val="0"/>
          <w:sz w:val="44"/>
          <w:shd w:val="clear" w:color="050000" w:fill="auto"/>
        </w:rPr>
        <w:t>录</w:t>
      </w:r>
    </w:p>
    <w:p>
      <w:pPr>
        <w:spacing w:before="0" w:after="0" w:line="360" w:lineRule="auto"/>
        <w:ind w:left="0" w:right="3569" w:firstLine="624"/>
        <w:jc w:val="both"/>
        <w:rPr>
          <w:color w:val="auto"/>
          <w:spacing w:val="0"/>
          <w:position w:val="0"/>
          <w:sz w:val="32"/>
          <w:shd w:val="clear" w:color="050000" w:fill="auto"/>
        </w:rPr>
      </w:pPr>
      <w:r>
        <w:rPr>
          <w:b/>
          <w:color w:val="auto"/>
          <w:spacing w:val="0"/>
          <w:position w:val="0"/>
          <w:sz w:val="32"/>
          <w:shd w:val="clear" w:color="060000" w:fill="auto"/>
        </w:rPr>
        <w:t>第一部分  概况</w:t>
      </w:r>
      <w:r>
        <w:rPr>
          <w:color w:val="auto"/>
          <w:spacing w:val="0"/>
          <w:position w:val="0"/>
          <w:sz w:val="32"/>
          <w:shd w:val="clear" w:color="050000" w:fill="auto"/>
        </w:rPr>
        <w:t xml:space="preserve"> </w:t>
      </w:r>
    </w:p>
    <w:p>
      <w:pPr>
        <w:spacing w:before="0" w:after="0" w:line="360" w:lineRule="auto"/>
        <w:ind w:left="0" w:right="3569" w:firstLine="936"/>
        <w:jc w:val="left"/>
        <w:rPr>
          <w:color w:val="auto"/>
          <w:spacing w:val="0"/>
          <w:position w:val="0"/>
          <w:sz w:val="32"/>
          <w:shd w:val="clear" w:color="050000" w:fill="auto"/>
        </w:rPr>
      </w:pPr>
      <w:r>
        <w:rPr>
          <w:color w:val="auto"/>
          <w:spacing w:val="0"/>
          <w:position w:val="0"/>
          <w:sz w:val="32"/>
          <w:shd w:val="clear" w:color="050000" w:fill="auto"/>
        </w:rPr>
        <w:t>一、主要职能</w:t>
      </w:r>
    </w:p>
    <w:p>
      <w:pPr>
        <w:spacing w:before="0" w:after="0" w:line="360" w:lineRule="auto"/>
        <w:ind w:left="0" w:right="3569" w:firstLine="936"/>
        <w:jc w:val="left"/>
        <w:rPr>
          <w:color w:val="auto"/>
          <w:spacing w:val="0"/>
          <w:position w:val="0"/>
          <w:sz w:val="32"/>
          <w:shd w:val="clear" w:color="050000" w:fill="auto"/>
        </w:rPr>
      </w:pPr>
      <w:r>
        <w:rPr>
          <w:color w:val="auto"/>
          <w:spacing w:val="0"/>
          <w:position w:val="0"/>
          <w:sz w:val="32"/>
          <w:shd w:val="clear" w:color="050000" w:fill="auto"/>
        </w:rPr>
        <w:t>二、部门预算单位构成</w:t>
      </w:r>
    </w:p>
    <w:p>
      <w:pPr>
        <w:spacing w:before="0" w:after="0" w:line="360" w:lineRule="auto"/>
        <w:ind w:left="0" w:right="521" w:firstLine="624"/>
        <w:jc w:val="both"/>
        <w:rPr>
          <w:b/>
          <w:color w:val="auto"/>
          <w:spacing w:val="0"/>
          <w:position w:val="0"/>
          <w:sz w:val="32"/>
          <w:shd w:val="clear" w:color="060000" w:fill="auto"/>
        </w:rPr>
      </w:pPr>
      <w:r>
        <w:rPr>
          <w:b/>
          <w:color w:val="auto"/>
          <w:spacing w:val="0"/>
          <w:position w:val="0"/>
          <w:sz w:val="32"/>
          <w:shd w:val="clear" w:color="060000" w:fill="auto"/>
        </w:rPr>
        <w:t>第二部门 示范区组织人社局2018年部门预算情况说明</w:t>
      </w:r>
    </w:p>
    <w:p>
      <w:pPr>
        <w:spacing w:before="0" w:after="0" w:line="360" w:lineRule="auto"/>
        <w:ind w:left="0" w:right="521" w:firstLine="624"/>
        <w:jc w:val="both"/>
        <w:rPr>
          <w:b/>
          <w:color w:val="auto"/>
          <w:spacing w:val="0"/>
          <w:position w:val="0"/>
          <w:sz w:val="32"/>
          <w:shd w:val="clear" w:color="060000" w:fill="auto"/>
        </w:rPr>
      </w:pPr>
      <w:r>
        <w:rPr>
          <w:b/>
          <w:color w:val="auto"/>
          <w:spacing w:val="0"/>
          <w:position w:val="0"/>
          <w:sz w:val="32"/>
          <w:shd w:val="clear" w:color="060000" w:fill="auto"/>
        </w:rPr>
        <w:t>第三部分 名词解释</w:t>
      </w:r>
    </w:p>
    <w:p>
      <w:pPr>
        <w:spacing w:before="0" w:after="0" w:line="360" w:lineRule="auto"/>
        <w:ind w:left="0" w:right="0" w:firstLine="624"/>
        <w:jc w:val="both"/>
        <w:rPr>
          <w:color w:val="auto"/>
          <w:spacing w:val="0"/>
          <w:position w:val="0"/>
          <w:sz w:val="32"/>
          <w:shd w:val="clear" w:color="050000" w:fill="auto"/>
        </w:rPr>
      </w:pPr>
      <w:r>
        <w:rPr>
          <w:color w:val="auto"/>
          <w:spacing w:val="0"/>
          <w:position w:val="0"/>
          <w:sz w:val="32"/>
          <w:shd w:val="clear" w:color="050000" w:fill="auto"/>
        </w:rPr>
        <w:t>附件：</w:t>
      </w:r>
      <w:r>
        <w:rPr>
          <w:color w:val="auto"/>
          <w:spacing w:val="-32"/>
          <w:position w:val="0"/>
          <w:sz w:val="32"/>
          <w:shd w:val="clear" w:color="050000" w:fill="auto"/>
        </w:rPr>
        <w:t xml:space="preserve"> </w:t>
      </w:r>
      <w:r>
        <w:rPr>
          <w:color w:val="auto"/>
          <w:spacing w:val="0"/>
          <w:position w:val="0"/>
          <w:sz w:val="32"/>
          <w:shd w:val="clear" w:color="050000" w:fill="auto"/>
        </w:rPr>
        <w:t>示范区组织人社局2018</w:t>
      </w:r>
      <w:r>
        <w:rPr>
          <w:color w:val="auto"/>
          <w:spacing w:val="-116"/>
          <w:position w:val="0"/>
          <w:sz w:val="32"/>
          <w:shd w:val="clear" w:color="050000" w:fill="auto"/>
        </w:rPr>
        <w:t xml:space="preserve"> </w:t>
      </w:r>
      <w:r>
        <w:rPr>
          <w:color w:val="auto"/>
          <w:spacing w:val="0"/>
          <w:position w:val="0"/>
          <w:sz w:val="32"/>
          <w:shd w:val="clear" w:color="050000" w:fill="auto"/>
        </w:rPr>
        <w:t>年度部门预算表</w:t>
      </w:r>
    </w:p>
    <w:p>
      <w:pPr>
        <w:spacing w:before="0" w:after="0" w:line="360" w:lineRule="auto"/>
        <w:ind w:left="0" w:right="51" w:firstLine="1872"/>
        <w:jc w:val="left"/>
        <w:rPr>
          <w:color w:val="auto"/>
          <w:spacing w:val="0"/>
          <w:position w:val="0"/>
          <w:sz w:val="32"/>
          <w:shd w:val="clear" w:color="050000" w:fill="auto"/>
        </w:rPr>
      </w:pPr>
      <w:r>
        <w:rPr>
          <w:color w:val="auto"/>
          <w:spacing w:val="0"/>
          <w:position w:val="0"/>
          <w:sz w:val="32"/>
          <w:shd w:val="clear" w:color="050000" w:fill="auto"/>
        </w:rPr>
        <w:t>一、部门收支总体情况表</w:t>
      </w:r>
    </w:p>
    <w:p>
      <w:pPr>
        <w:spacing w:before="0" w:after="0" w:line="360" w:lineRule="auto"/>
        <w:ind w:left="0" w:right="51" w:firstLine="1872"/>
        <w:jc w:val="left"/>
        <w:rPr>
          <w:color w:val="auto"/>
          <w:spacing w:val="0"/>
          <w:position w:val="0"/>
          <w:sz w:val="32"/>
          <w:shd w:val="clear" w:color="050000" w:fill="auto"/>
        </w:rPr>
      </w:pPr>
      <w:r>
        <w:rPr>
          <w:color w:val="auto"/>
          <w:spacing w:val="0"/>
          <w:position w:val="0"/>
          <w:sz w:val="32"/>
          <w:shd w:val="clear" w:color="050000" w:fill="auto"/>
        </w:rPr>
        <w:t>二、部门收入总体情况表</w:t>
      </w:r>
    </w:p>
    <w:p>
      <w:pPr>
        <w:spacing w:before="0" w:after="0" w:line="360" w:lineRule="auto"/>
        <w:ind w:left="0" w:right="51" w:firstLine="1872"/>
        <w:jc w:val="left"/>
        <w:rPr>
          <w:color w:val="auto"/>
          <w:spacing w:val="0"/>
          <w:position w:val="0"/>
          <w:sz w:val="32"/>
          <w:shd w:val="clear" w:color="050000" w:fill="auto"/>
        </w:rPr>
      </w:pPr>
      <w:r>
        <w:rPr>
          <w:color w:val="auto"/>
          <w:spacing w:val="0"/>
          <w:position w:val="0"/>
          <w:sz w:val="32"/>
          <w:shd w:val="clear" w:color="050000" w:fill="auto"/>
        </w:rPr>
        <w:t>三、部门支出总体情况表</w:t>
      </w:r>
    </w:p>
    <w:p>
      <w:pPr>
        <w:spacing w:before="0" w:after="0" w:line="360" w:lineRule="auto"/>
        <w:ind w:left="0" w:right="51" w:firstLine="1872"/>
        <w:jc w:val="left"/>
        <w:rPr>
          <w:color w:val="auto"/>
          <w:spacing w:val="0"/>
          <w:position w:val="0"/>
          <w:sz w:val="32"/>
          <w:shd w:val="clear" w:color="050000" w:fill="auto"/>
        </w:rPr>
      </w:pPr>
      <w:r>
        <w:rPr>
          <w:color w:val="auto"/>
          <w:spacing w:val="0"/>
          <w:position w:val="0"/>
          <w:sz w:val="32"/>
          <w:shd w:val="clear" w:color="050000" w:fill="auto"/>
        </w:rPr>
        <w:t>四、财政拨款收支总体情况表</w:t>
      </w:r>
    </w:p>
    <w:p>
      <w:pPr>
        <w:spacing w:before="0" w:after="0" w:line="360" w:lineRule="auto"/>
        <w:ind w:left="0" w:right="51" w:firstLine="1872"/>
        <w:jc w:val="left"/>
        <w:rPr>
          <w:color w:val="auto"/>
          <w:spacing w:val="0"/>
          <w:position w:val="0"/>
          <w:sz w:val="32"/>
          <w:shd w:val="clear" w:color="050000" w:fill="auto"/>
        </w:rPr>
      </w:pPr>
      <w:r>
        <w:rPr>
          <w:color w:val="auto"/>
          <w:spacing w:val="0"/>
          <w:position w:val="0"/>
          <w:sz w:val="32"/>
          <w:shd w:val="clear" w:color="050000" w:fill="auto"/>
        </w:rPr>
        <w:t>五、一般公共预算支出情况表</w:t>
      </w:r>
    </w:p>
    <w:p>
      <w:pPr>
        <w:spacing w:before="0" w:after="0" w:line="360" w:lineRule="auto"/>
        <w:ind w:left="0" w:right="51" w:firstLine="1872"/>
        <w:jc w:val="left"/>
        <w:rPr>
          <w:color w:val="auto"/>
          <w:spacing w:val="0"/>
          <w:position w:val="0"/>
          <w:sz w:val="32"/>
          <w:shd w:val="clear" w:color="050000" w:fill="auto"/>
        </w:rPr>
      </w:pPr>
      <w:r>
        <w:rPr>
          <w:color w:val="auto"/>
          <w:spacing w:val="0"/>
          <w:position w:val="0"/>
          <w:sz w:val="32"/>
          <w:shd w:val="clear" w:color="050000" w:fill="auto"/>
        </w:rPr>
        <w:t>六、一般公共预算基本支出情况表</w:t>
      </w:r>
    </w:p>
    <w:p>
      <w:pPr>
        <w:spacing w:before="0" w:after="0" w:line="360" w:lineRule="auto"/>
        <w:ind w:left="0" w:right="51" w:firstLine="1872"/>
        <w:jc w:val="left"/>
        <w:rPr>
          <w:color w:val="auto"/>
          <w:spacing w:val="0"/>
          <w:position w:val="0"/>
          <w:sz w:val="32"/>
          <w:shd w:val="clear" w:color="050000" w:fill="auto"/>
        </w:rPr>
      </w:pPr>
      <w:r>
        <w:rPr>
          <w:color w:val="auto"/>
          <w:spacing w:val="0"/>
          <w:position w:val="0"/>
          <w:sz w:val="32"/>
          <w:shd w:val="clear" w:color="050000" w:fill="auto"/>
        </w:rPr>
        <w:t>七、一般公共预算“三公”经费支出情况表</w:t>
      </w:r>
    </w:p>
    <w:p>
      <w:pPr>
        <w:spacing w:before="0" w:after="0" w:line="360" w:lineRule="auto"/>
        <w:ind w:left="0" w:right="51" w:firstLine="1872"/>
        <w:jc w:val="left"/>
        <w:rPr>
          <w:color w:val="auto"/>
          <w:spacing w:val="0"/>
          <w:position w:val="0"/>
          <w:sz w:val="32"/>
          <w:shd w:val="clear" w:color="050000" w:fill="auto"/>
        </w:rPr>
      </w:pPr>
      <w:r>
        <w:rPr>
          <w:color w:val="auto"/>
          <w:spacing w:val="0"/>
          <w:position w:val="0"/>
          <w:sz w:val="32"/>
          <w:shd w:val="clear" w:color="050000" w:fill="auto"/>
        </w:rPr>
        <w:t>八、政府性基金预算支出情况表</w:t>
      </w:r>
    </w:p>
    <w:p>
      <w:pPr>
        <w:spacing w:before="0" w:after="0" w:line="360" w:lineRule="auto"/>
        <w:ind w:left="0" w:right="51" w:firstLine="1872"/>
        <w:jc w:val="left"/>
        <w:rPr>
          <w:color w:val="auto"/>
          <w:spacing w:val="0"/>
          <w:position w:val="0"/>
          <w:sz w:val="32"/>
          <w:shd w:val="clear" w:color="050000" w:fill="auto"/>
        </w:rPr>
      </w:pPr>
      <w:r>
        <w:rPr>
          <w:color w:val="auto"/>
          <w:spacing w:val="0"/>
          <w:position w:val="0"/>
          <w:sz w:val="32"/>
          <w:shd w:val="clear" w:color="050000" w:fill="auto"/>
        </w:rPr>
        <w:t>九、国有资本经营预算收支情况表</w:t>
      </w:r>
    </w:p>
    <w:p>
      <w:pPr>
        <w:spacing w:before="0" w:after="0" w:line="360" w:lineRule="auto"/>
        <w:ind w:left="0" w:right="51" w:firstLine="1872"/>
        <w:jc w:val="left"/>
        <w:rPr>
          <w:color w:val="auto"/>
          <w:spacing w:val="0"/>
          <w:position w:val="0"/>
          <w:sz w:val="32"/>
          <w:shd w:val="clear" w:color="050000" w:fill="auto"/>
        </w:rPr>
      </w:pPr>
      <w:r>
        <w:rPr>
          <w:color w:val="auto"/>
          <w:spacing w:val="0"/>
          <w:position w:val="0"/>
          <w:sz w:val="32"/>
          <w:shd w:val="clear" w:color="050000" w:fill="auto"/>
        </w:rPr>
        <w:t>十、机关运行经费</w:t>
      </w:r>
    </w:p>
    <w:p>
      <w:pPr>
        <w:spacing w:before="0" w:after="0" w:line="360" w:lineRule="auto"/>
        <w:ind w:left="0" w:right="51" w:firstLine="1872"/>
        <w:jc w:val="left"/>
        <w:rPr>
          <w:b/>
          <w:color w:val="auto"/>
          <w:spacing w:val="0"/>
          <w:position w:val="0"/>
          <w:sz w:val="32"/>
          <w:shd w:val="clear" w:color="060000" w:fill="auto"/>
        </w:rPr>
      </w:pPr>
      <w:r>
        <w:rPr>
          <w:color w:val="auto"/>
          <w:spacing w:val="0"/>
          <w:position w:val="0"/>
          <w:sz w:val="32"/>
          <w:shd w:val="clear" w:color="050000" w:fill="auto"/>
        </w:rPr>
        <w:t>十一、预算项目支出绩效目标表</w:t>
      </w:r>
    </w:p>
    <w:p>
      <w:pPr>
        <w:spacing w:before="0" w:after="0" w:line="360" w:lineRule="auto"/>
        <w:ind w:left="0" w:right="0" w:firstLine="3744"/>
        <w:jc w:val="both"/>
        <w:rPr>
          <w:b/>
          <w:color w:val="auto"/>
          <w:spacing w:val="0"/>
          <w:position w:val="0"/>
          <w:sz w:val="32"/>
          <w:shd w:val="clear" w:color="060000" w:fill="auto"/>
        </w:rPr>
      </w:pPr>
    </w:p>
    <w:p>
      <w:pPr>
        <w:spacing w:before="0" w:after="0" w:line="360" w:lineRule="auto"/>
        <w:ind w:left="0" w:right="0" w:firstLine="3744"/>
        <w:jc w:val="both"/>
        <w:rPr>
          <w:b/>
          <w:color w:val="auto"/>
          <w:spacing w:val="0"/>
          <w:position w:val="0"/>
          <w:sz w:val="32"/>
          <w:shd w:val="clear" w:color="060000" w:fill="auto"/>
        </w:rPr>
      </w:pPr>
      <w:r>
        <w:rPr>
          <w:b/>
          <w:color w:val="auto"/>
          <w:spacing w:val="0"/>
          <w:position w:val="0"/>
          <w:sz w:val="32"/>
          <w:shd w:val="clear" w:color="060000" w:fill="auto"/>
        </w:rPr>
        <w:t>第一部分</w:t>
      </w:r>
    </w:p>
    <w:p>
      <w:pPr>
        <w:spacing w:before="0" w:after="0" w:line="360" w:lineRule="auto"/>
        <w:ind w:left="0" w:right="0" w:firstLine="0"/>
        <w:jc w:val="center"/>
        <w:rPr>
          <w:color w:val="auto"/>
          <w:spacing w:val="0"/>
          <w:position w:val="0"/>
          <w:sz w:val="32"/>
          <w:shd w:val="clear" w:color="050000" w:fill="auto"/>
        </w:rPr>
      </w:pPr>
      <w:r>
        <w:rPr>
          <w:b/>
          <w:color w:val="auto"/>
          <w:spacing w:val="0"/>
          <w:position w:val="0"/>
          <w:sz w:val="32"/>
          <w:shd w:val="clear" w:color="060000" w:fill="auto"/>
        </w:rPr>
        <w:t>示范区组织人社局部门概况</w:t>
      </w:r>
    </w:p>
    <w:p>
      <w:pPr>
        <w:spacing w:before="0" w:after="0" w:line="360" w:lineRule="auto"/>
        <w:ind w:left="0" w:right="0" w:firstLine="624"/>
        <w:jc w:val="center"/>
        <w:rPr>
          <w:color w:val="auto"/>
          <w:spacing w:val="0"/>
          <w:position w:val="0"/>
          <w:sz w:val="32"/>
          <w:shd w:val="clear" w:color="050000" w:fill="auto"/>
        </w:rPr>
      </w:pPr>
    </w:p>
    <w:p>
      <w:pPr>
        <w:widowControl/>
        <w:numPr>
          <w:ilvl w:val="0"/>
          <w:numId w:val="1"/>
        </w:numPr>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主要职能</w:t>
      </w:r>
    </w:p>
    <w:p>
      <w:pPr>
        <w:widowControl/>
        <w:numPr>
          <w:ilvl w:val="0"/>
          <w:numId w:val="1"/>
        </w:numPr>
        <w:wordWrap/>
        <w:adjustRightInd/>
        <w:snapToGrid/>
        <w:spacing w:before="0" w:after="0" w:line="360" w:lineRule="auto"/>
        <w:ind w:left="0" w:right="3569" w:firstLine="624"/>
        <w:jc w:val="left"/>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机构设置情况</w:t>
      </w:r>
    </w:p>
    <w:p>
      <w:pPr>
        <w:widowControl/>
        <w:wordWrap/>
        <w:adjustRightInd/>
        <w:snapToGrid/>
        <w:spacing w:before="0" w:after="0" w:line="360" w:lineRule="auto"/>
        <w:ind w:left="0" w:right="0" w:firstLine="0"/>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 xml:space="preserve">      焦作市城乡一体化示范区组织人力资源社会保障局下设工委宣传教育中心、工委联络办公室、事业单位登记管理局、人力资源服务中心（劳动保障监察大队）、社会保险管理中心、城乡居民社会养老保险管理中心、基层人力资源社会保障服务中心七个事业单位，规格为副县级，实有工作人员8名，副县级1名，正科级人员4名，副科级人员1名（虚职），经费供给方式为示范区财政全额拨付。</w:t>
      </w:r>
    </w:p>
    <w:p>
      <w:pPr>
        <w:widowControl/>
        <w:numPr>
          <w:ilvl w:val="0"/>
          <w:numId w:val="2"/>
        </w:numPr>
        <w:wordWrap/>
        <w:adjustRightInd/>
        <w:snapToGrid/>
        <w:spacing w:before="0" w:after="0" w:line="360" w:lineRule="auto"/>
        <w:ind w:left="0" w:right="3569" w:firstLine="624"/>
        <w:jc w:val="left"/>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部门职责</w:t>
      </w:r>
    </w:p>
    <w:p>
      <w:pPr>
        <w:widowControl/>
        <w:wordWrap/>
        <w:adjustRightInd/>
        <w:snapToGrid/>
        <w:spacing w:before="0" w:after="0" w:line="360" w:lineRule="auto"/>
        <w:ind w:left="0" w:right="0" w:firstLine="0"/>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 xml:space="preserve">    负责示范区党的思想、组织、作风建设和干部教育管理工作；负责宣传、精神文明建设和群团等工作；负责统战和人大代表、政协委员联络工作；负责机构编制、人力资源和社会保障工作；负责高层次人才规划、培养、选拔、引进和服务工作。</w:t>
      </w:r>
    </w:p>
    <w:p>
      <w:pPr>
        <w:widowControl/>
        <w:wordWrap/>
        <w:adjustRightInd/>
        <w:snapToGrid/>
        <w:spacing w:before="0" w:after="0" w:line="360" w:lineRule="auto"/>
        <w:ind w:left="0" w:right="3569" w:firstLine="0"/>
        <w:jc w:val="left"/>
        <w:textAlignment w:val="auto"/>
        <w:outlineLvl w:val="9"/>
        <w:rPr>
          <w:rFonts w:hint="eastAsia" w:ascii="仿宋" w:hAnsi="仿宋" w:eastAsia="仿宋" w:cs="仿宋"/>
          <w:color w:val="auto"/>
          <w:spacing w:val="0"/>
          <w:position w:val="0"/>
          <w:sz w:val="32"/>
          <w:szCs w:val="32"/>
          <w:shd w:val="clear" w:color="050000" w:fill="auto"/>
        </w:rPr>
      </w:pPr>
    </w:p>
    <w:p>
      <w:pPr>
        <w:widowControl/>
        <w:numPr>
          <w:ilvl w:val="0"/>
          <w:numId w:val="3"/>
        </w:numPr>
        <w:wordWrap/>
        <w:adjustRightInd/>
        <w:snapToGrid/>
        <w:spacing w:before="0" w:after="0" w:line="360" w:lineRule="auto"/>
        <w:ind w:left="0" w:right="3569" w:firstLine="624"/>
        <w:jc w:val="left"/>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组织人社局单位构成</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焦作市城乡一体化示范区组织人力资源社会保障局下设工委宣传教育中心、工委联络办公室、事业单位登记管理局、人力资源服务中心（劳动保障监察大队）、社会保险管理中心、城乡居民社会养老保险管理中心、基层人力资源社会保障服务中心七个事业单位。</w:t>
      </w:r>
    </w:p>
    <w:p>
      <w:pPr>
        <w:widowControl/>
        <w:wordWrap/>
        <w:adjustRightInd/>
        <w:snapToGrid/>
        <w:spacing w:before="0" w:after="0" w:line="360" w:lineRule="auto"/>
        <w:ind w:left="0" w:right="0" w:firstLine="0"/>
        <w:jc w:val="both"/>
        <w:textAlignment w:val="auto"/>
        <w:outlineLvl w:val="9"/>
        <w:rPr>
          <w:rFonts w:hint="eastAsia" w:ascii="仿宋" w:hAnsi="仿宋" w:eastAsia="仿宋" w:cs="仿宋"/>
          <w:color w:val="auto"/>
          <w:spacing w:val="0"/>
          <w:position w:val="0"/>
          <w:sz w:val="32"/>
          <w:szCs w:val="32"/>
          <w:shd w:val="clear" w:color="050000" w:fill="auto"/>
        </w:rPr>
      </w:pPr>
    </w:p>
    <w:p>
      <w:pPr>
        <w:widowControl/>
        <w:wordWrap/>
        <w:adjustRightInd/>
        <w:snapToGrid/>
        <w:spacing w:before="0" w:after="0" w:line="360" w:lineRule="auto"/>
        <w:ind w:left="0" w:right="0" w:firstLine="3438"/>
        <w:jc w:val="left"/>
        <w:textAlignment w:val="auto"/>
        <w:outlineLvl w:val="9"/>
        <w:rPr>
          <w:rFonts w:hint="eastAsia" w:ascii="仿宋" w:hAnsi="仿宋" w:eastAsia="仿宋" w:cs="仿宋"/>
          <w:color w:val="auto"/>
          <w:spacing w:val="0"/>
          <w:position w:val="0"/>
          <w:sz w:val="32"/>
          <w:szCs w:val="32"/>
          <w:shd w:val="clear" w:color="050000" w:fill="FFFFFF"/>
        </w:rPr>
      </w:pPr>
    </w:p>
    <w:p>
      <w:pPr>
        <w:widowControl/>
        <w:wordWrap/>
        <w:adjustRightInd/>
        <w:snapToGrid/>
        <w:spacing w:before="0" w:after="0" w:line="360" w:lineRule="auto"/>
        <w:ind w:left="0" w:right="0" w:firstLine="0"/>
        <w:jc w:val="center"/>
        <w:textAlignment w:val="auto"/>
        <w:outlineLvl w:val="9"/>
        <w:rPr>
          <w:rFonts w:hint="eastAsia" w:ascii="仿宋" w:hAnsi="仿宋" w:eastAsia="仿宋" w:cs="仿宋"/>
          <w:b/>
          <w:color w:val="auto"/>
          <w:spacing w:val="0"/>
          <w:position w:val="0"/>
          <w:sz w:val="32"/>
          <w:szCs w:val="32"/>
          <w:shd w:val="clear" w:color="060000" w:fill="FFFFFF"/>
        </w:rPr>
      </w:pPr>
      <w:r>
        <w:rPr>
          <w:rFonts w:hint="eastAsia" w:ascii="仿宋" w:hAnsi="仿宋" w:eastAsia="仿宋" w:cs="仿宋"/>
          <w:b/>
          <w:color w:val="auto"/>
          <w:spacing w:val="0"/>
          <w:position w:val="0"/>
          <w:sz w:val="32"/>
          <w:szCs w:val="32"/>
          <w:shd w:val="clear" w:color="060000" w:fill="FFFFFF"/>
        </w:rPr>
        <w:t>第二部分</w:t>
      </w:r>
    </w:p>
    <w:p>
      <w:pPr>
        <w:widowControl/>
        <w:wordWrap/>
        <w:adjustRightInd/>
        <w:snapToGrid/>
        <w:spacing w:before="0" w:after="0" w:line="360" w:lineRule="auto"/>
        <w:ind w:left="0" w:right="0" w:firstLine="0"/>
        <w:jc w:val="center"/>
        <w:textAlignment w:val="auto"/>
        <w:outlineLvl w:val="9"/>
        <w:rPr>
          <w:rFonts w:hint="eastAsia" w:ascii="仿宋" w:hAnsi="仿宋" w:eastAsia="仿宋" w:cs="仿宋"/>
          <w:b/>
          <w:color w:val="auto"/>
          <w:spacing w:val="0"/>
          <w:position w:val="0"/>
          <w:sz w:val="32"/>
          <w:szCs w:val="32"/>
          <w:shd w:val="clear" w:color="060000" w:fill="FFFFFF"/>
        </w:rPr>
      </w:pPr>
      <w:r>
        <w:rPr>
          <w:rFonts w:hint="eastAsia" w:ascii="仿宋" w:hAnsi="仿宋" w:eastAsia="仿宋" w:cs="仿宋"/>
          <w:b/>
          <w:color w:val="auto"/>
          <w:spacing w:val="0"/>
          <w:position w:val="0"/>
          <w:sz w:val="32"/>
          <w:szCs w:val="32"/>
          <w:shd w:val="clear" w:color="060000" w:fill="FFFFFF"/>
        </w:rPr>
        <w:t>示范区组织人社局2018年度部门预算情况说明</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一、收入支出预算总体情况说明</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 xml:space="preserve">组织人社局2018年收入1451.85万元，支出总计1451.85万元，与2017年相比，收、支总计各增加304.74万元，增长27%。主要原因：人员经费增加和部分项目预算增加。  </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二、收入预算总体情况说明</w:t>
      </w:r>
    </w:p>
    <w:p>
      <w:pPr>
        <w:widowControl/>
        <w:wordWrap/>
        <w:adjustRightInd/>
        <w:snapToGrid/>
        <w:spacing w:before="0" w:after="0" w:line="360" w:lineRule="auto"/>
        <w:ind w:left="0" w:right="0" w:firstLine="640"/>
        <w:jc w:val="left"/>
        <w:textAlignment w:val="auto"/>
        <w:outlineLvl w:val="9"/>
        <w:rPr>
          <w:rFonts w:hint="eastAsia" w:ascii="仿宋" w:hAnsi="仿宋" w:eastAsia="仿宋" w:cs="仿宋"/>
          <w:color w:val="FF0000"/>
          <w:spacing w:val="0"/>
          <w:position w:val="0"/>
          <w:sz w:val="32"/>
          <w:szCs w:val="32"/>
          <w:shd w:val="clear" w:color="050000" w:fill="FFFFFF"/>
        </w:rPr>
      </w:pPr>
      <w:r>
        <w:rPr>
          <w:rFonts w:hint="eastAsia" w:ascii="仿宋" w:hAnsi="仿宋" w:eastAsia="仿宋" w:cs="仿宋"/>
          <w:color w:val="auto"/>
          <w:spacing w:val="0"/>
          <w:position w:val="0"/>
          <w:sz w:val="32"/>
          <w:szCs w:val="32"/>
          <w:shd w:val="clear" w:color="050000" w:fill="FFFFFF"/>
        </w:rPr>
        <w:t>组织人社局2018年收入合计1451.85万元，其中：一般公共预算收入1451.85万元; 政府性基金预算收入0万元；国有资本经营预算收入0万元；其他收入0万元。</w:t>
      </w:r>
      <w:r>
        <w:rPr>
          <w:rFonts w:hint="eastAsia" w:ascii="仿宋" w:hAnsi="仿宋" w:eastAsia="仿宋" w:cs="仿宋"/>
          <w:color w:val="FF0000"/>
          <w:spacing w:val="0"/>
          <w:position w:val="0"/>
          <w:sz w:val="32"/>
          <w:szCs w:val="32"/>
          <w:shd w:val="clear" w:color="050000" w:fill="FFFFFF"/>
        </w:rPr>
        <w:t xml:space="preserve"> </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三、支出预算总体情况说明</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FF0000"/>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组织人社局2018年支出合计1451.85万元，其中：基本支出113.63万元，占8%；项目支出1338.22万元，占92%。</w:t>
      </w:r>
      <w:r>
        <w:rPr>
          <w:rFonts w:hint="eastAsia" w:ascii="仿宋" w:hAnsi="仿宋" w:eastAsia="仿宋" w:cs="仿宋"/>
          <w:color w:val="FF0000"/>
          <w:spacing w:val="0"/>
          <w:position w:val="0"/>
          <w:sz w:val="32"/>
          <w:szCs w:val="32"/>
          <w:shd w:val="clear" w:color="050000" w:fill="auto"/>
        </w:rPr>
        <w:t xml:space="preserve"> </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四、财政拨款收入支出预算总体情况说明</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组织人社局2018年一般公共预算收支预算1451.85万元。政府性基金收支预算0万元，与 2017年相比，一般公共预算收支预算增加304.74万元，增长27%，主要原因：人员经费增加和部分项目预算增加。无政府性基金预算。</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五、一般公共预算支出预算情况说明</w:t>
      </w:r>
    </w:p>
    <w:p>
      <w:pPr>
        <w:widowControl/>
        <w:wordWrap/>
        <w:adjustRightInd/>
        <w:snapToGrid/>
        <w:spacing w:before="0" w:after="0" w:line="360" w:lineRule="auto"/>
        <w:ind w:left="0" w:right="0" w:firstLine="622"/>
        <w:jc w:val="left"/>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组织人社局2018年一般公共预算支出年初预算为1451.85万元。主要用于以下方面：一般公共服务支出755.93万元，占52%；社会保障和就业支出95.92万元，占7%；农林水支出500万元，占35%；其他支出100万元，占7%。</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六、一般公共预算基本支出预算情况说明</w:t>
      </w:r>
    </w:p>
    <w:p>
      <w:pPr>
        <w:widowControl/>
        <w:wordWrap/>
        <w:adjustRightInd/>
        <w:snapToGrid/>
        <w:spacing w:before="0" w:after="0" w:line="360" w:lineRule="auto"/>
        <w:ind w:left="0" w:right="0" w:firstLine="622"/>
        <w:jc w:val="left"/>
        <w:textAlignment w:val="auto"/>
        <w:outlineLvl w:val="9"/>
        <w:rPr>
          <w:rFonts w:hint="eastAsia" w:ascii="仿宋" w:hAnsi="仿宋" w:eastAsia="仿宋" w:cs="仿宋"/>
          <w:color w:val="FF0000"/>
          <w:spacing w:val="0"/>
          <w:position w:val="0"/>
          <w:sz w:val="32"/>
          <w:szCs w:val="32"/>
          <w:u w:val="single"/>
          <w:shd w:val="clear" w:color="060000" w:fill="auto"/>
        </w:rPr>
      </w:pPr>
      <w:r>
        <w:rPr>
          <w:rFonts w:hint="eastAsia" w:ascii="仿宋" w:hAnsi="仿宋" w:eastAsia="仿宋" w:cs="仿宋"/>
          <w:color w:val="auto"/>
          <w:spacing w:val="0"/>
          <w:position w:val="0"/>
          <w:sz w:val="32"/>
          <w:szCs w:val="32"/>
          <w:shd w:val="clear" w:color="050000" w:fill="auto"/>
        </w:rPr>
        <w:t>组织人社局2018年一般公共预算基本支出113.63万元，其中：</w:t>
      </w:r>
      <w:r>
        <w:rPr>
          <w:rFonts w:hint="eastAsia" w:ascii="仿宋" w:hAnsi="仿宋" w:eastAsia="仿宋" w:cs="仿宋"/>
          <w:b/>
          <w:color w:val="auto"/>
          <w:spacing w:val="-1"/>
          <w:position w:val="0"/>
          <w:sz w:val="32"/>
          <w:szCs w:val="32"/>
          <w:shd w:val="clear" w:color="060000" w:fill="auto"/>
        </w:rPr>
        <w:t>人员经费</w:t>
      </w:r>
      <w:r>
        <w:rPr>
          <w:rFonts w:hint="eastAsia" w:ascii="仿宋" w:hAnsi="仿宋" w:eastAsia="仿宋" w:cs="仿宋"/>
          <w:b/>
          <w:color w:val="auto"/>
          <w:spacing w:val="0"/>
          <w:position w:val="0"/>
          <w:sz w:val="32"/>
          <w:szCs w:val="32"/>
          <w:shd w:val="clear" w:color="060000" w:fill="auto"/>
          <w:lang w:val="en-US" w:eastAsia="zh-CN"/>
        </w:rPr>
        <w:t>102.2</w:t>
      </w:r>
      <w:r>
        <w:rPr>
          <w:rFonts w:hint="eastAsia" w:ascii="仿宋" w:hAnsi="仿宋" w:eastAsia="仿宋" w:cs="仿宋"/>
          <w:b/>
          <w:color w:val="auto"/>
          <w:spacing w:val="0"/>
          <w:position w:val="0"/>
          <w:sz w:val="32"/>
          <w:szCs w:val="32"/>
          <w:shd w:val="clear" w:color="060000" w:fill="auto"/>
        </w:rPr>
        <w:t>万元，主要包括：</w:t>
      </w:r>
      <w:r>
        <w:rPr>
          <w:rFonts w:hint="eastAsia" w:ascii="仿宋" w:hAnsi="仿宋" w:eastAsia="仿宋" w:cs="仿宋"/>
          <w:color w:val="auto"/>
          <w:spacing w:val="0"/>
          <w:position w:val="0"/>
          <w:sz w:val="32"/>
          <w:szCs w:val="32"/>
          <w:shd w:val="clear" w:color="050000" w:fill="auto"/>
        </w:rPr>
        <w:t>基本工资、津贴补贴、奖金、机关事业单位基本养老保险缴费、职业年金缴费、城镇职工医疗保险缴费、公务员医疗补助缴费、工会经费、福利费、其他社</w:t>
      </w:r>
      <w:bookmarkStart w:id="0" w:name="_GoBack"/>
      <w:bookmarkEnd w:id="0"/>
      <w:r>
        <w:rPr>
          <w:rFonts w:hint="eastAsia" w:ascii="仿宋" w:hAnsi="仿宋" w:eastAsia="仿宋" w:cs="仿宋"/>
          <w:color w:val="auto"/>
          <w:spacing w:val="0"/>
          <w:position w:val="0"/>
          <w:sz w:val="32"/>
          <w:szCs w:val="32"/>
          <w:shd w:val="clear" w:color="050000" w:fill="auto"/>
        </w:rPr>
        <w:t>会保障缴费、住房公积金；</w:t>
      </w:r>
      <w:r>
        <w:rPr>
          <w:rFonts w:hint="eastAsia" w:ascii="仿宋" w:hAnsi="仿宋" w:eastAsia="仿宋" w:cs="仿宋"/>
          <w:b/>
          <w:color w:val="auto"/>
          <w:spacing w:val="0"/>
          <w:position w:val="0"/>
          <w:sz w:val="32"/>
          <w:szCs w:val="32"/>
          <w:shd w:val="clear" w:color="060000" w:fill="auto"/>
        </w:rPr>
        <w:t>公用经费</w:t>
      </w:r>
      <w:r>
        <w:rPr>
          <w:rFonts w:hint="eastAsia" w:ascii="仿宋" w:hAnsi="仿宋" w:eastAsia="仿宋" w:cs="仿宋"/>
          <w:b/>
          <w:color w:val="auto"/>
          <w:spacing w:val="0"/>
          <w:position w:val="0"/>
          <w:sz w:val="32"/>
          <w:szCs w:val="32"/>
          <w:shd w:val="clear" w:color="060000" w:fill="auto"/>
          <w:lang w:val="en-US" w:eastAsia="zh-CN"/>
        </w:rPr>
        <w:t>11.43</w:t>
      </w:r>
      <w:r>
        <w:rPr>
          <w:rFonts w:hint="eastAsia" w:ascii="仿宋" w:hAnsi="仿宋" w:eastAsia="仿宋" w:cs="仿宋"/>
          <w:b/>
          <w:color w:val="auto"/>
          <w:spacing w:val="0"/>
          <w:position w:val="0"/>
          <w:sz w:val="32"/>
          <w:szCs w:val="32"/>
          <w:shd w:val="clear" w:color="060000" w:fill="auto"/>
        </w:rPr>
        <w:t>万元</w:t>
      </w:r>
      <w:r>
        <w:rPr>
          <w:rFonts w:hint="eastAsia" w:ascii="仿宋" w:hAnsi="仿宋" w:eastAsia="仿宋" w:cs="仿宋"/>
          <w:color w:val="auto"/>
          <w:spacing w:val="0"/>
          <w:position w:val="0"/>
          <w:sz w:val="32"/>
          <w:szCs w:val="32"/>
          <w:shd w:val="clear" w:color="050000" w:fill="auto"/>
        </w:rPr>
        <w:t>，</w:t>
      </w:r>
      <w:r>
        <w:rPr>
          <w:rFonts w:hint="eastAsia" w:ascii="仿宋" w:hAnsi="仿宋" w:eastAsia="仿宋" w:cs="仿宋"/>
          <w:b/>
          <w:color w:val="auto"/>
          <w:spacing w:val="0"/>
          <w:position w:val="0"/>
          <w:sz w:val="32"/>
          <w:szCs w:val="32"/>
          <w:shd w:val="clear" w:color="060000" w:fill="auto"/>
        </w:rPr>
        <w:t>主要包括</w:t>
      </w:r>
      <w:r>
        <w:rPr>
          <w:rFonts w:hint="eastAsia" w:ascii="仿宋" w:hAnsi="仿宋" w:eastAsia="仿宋" w:cs="仿宋"/>
          <w:color w:val="auto"/>
          <w:spacing w:val="0"/>
          <w:position w:val="0"/>
          <w:sz w:val="32"/>
          <w:szCs w:val="32"/>
          <w:shd w:val="clear" w:color="050000" w:fill="auto"/>
        </w:rPr>
        <w:t>：办公费、印刷费、水费、电费、邮电费、差旅费、公务接待费、其他交通费用、其他商品和服务支出。</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七、政府性基金预算支出预算情况说明</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FF0000"/>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我单位2018年没有使用政府性基金预算拨款安排的支出。</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八、国有资本经营预算支出预算情况说明</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我单位2018年没有使用政国有资本经营预算拨款安排的支出。</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九、“三公”经费支出预算情况说明</w:t>
      </w:r>
    </w:p>
    <w:p>
      <w:pPr>
        <w:widowControl/>
        <w:wordWrap/>
        <w:adjustRightInd/>
        <w:snapToGrid/>
        <w:spacing w:before="0" w:after="0" w:line="360" w:lineRule="auto"/>
        <w:ind w:left="0" w:right="0" w:firstLine="624"/>
        <w:jc w:val="left"/>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组织人社局2018 年“三公”经费预算为2.3万元。 比 2017年预算数减少5.74万元，下降71%。</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具体支出情况如下：</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b/>
          <w:color w:val="auto"/>
          <w:spacing w:val="0"/>
          <w:position w:val="0"/>
          <w:sz w:val="32"/>
          <w:szCs w:val="32"/>
          <w:shd w:val="clear" w:color="060000" w:fill="auto"/>
        </w:rPr>
        <w:t>因公国（境）费</w:t>
      </w:r>
      <w:r>
        <w:rPr>
          <w:rFonts w:hint="eastAsia" w:ascii="仿宋" w:hAnsi="仿宋" w:eastAsia="仿宋" w:cs="仿宋"/>
          <w:color w:val="auto"/>
          <w:spacing w:val="0"/>
          <w:position w:val="0"/>
          <w:sz w:val="32"/>
          <w:szCs w:val="32"/>
          <w:shd w:val="clear" w:color="050000" w:fill="auto"/>
        </w:rPr>
        <w:t>0万元，与2017年持平。</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b/>
          <w:color w:val="auto"/>
          <w:spacing w:val="0"/>
          <w:position w:val="0"/>
          <w:sz w:val="32"/>
          <w:szCs w:val="32"/>
          <w:shd w:val="clear" w:color="060000" w:fill="auto"/>
        </w:rPr>
        <w:t>公务用车购置及运行费</w:t>
      </w:r>
      <w:r>
        <w:rPr>
          <w:rFonts w:hint="eastAsia" w:ascii="仿宋" w:hAnsi="仿宋" w:eastAsia="仿宋" w:cs="仿宋"/>
          <w:color w:val="auto"/>
          <w:spacing w:val="0"/>
          <w:position w:val="0"/>
          <w:sz w:val="32"/>
          <w:szCs w:val="32"/>
          <w:shd w:val="clear" w:color="050000" w:fill="auto"/>
        </w:rPr>
        <w:t>0万元，与2017年持平。</w:t>
      </w:r>
    </w:p>
    <w:p>
      <w:pPr>
        <w:widowControl/>
        <w:wordWrap/>
        <w:adjustRightInd/>
        <w:snapToGrid/>
        <w:spacing w:before="0" w:after="0" w:line="360" w:lineRule="auto"/>
        <w:ind w:left="0" w:right="0" w:firstLine="620"/>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b/>
          <w:color w:val="auto"/>
          <w:spacing w:val="-1"/>
          <w:position w:val="0"/>
          <w:sz w:val="32"/>
          <w:szCs w:val="32"/>
          <w:shd w:val="clear" w:color="060000" w:fill="auto"/>
        </w:rPr>
        <w:t>公务接待费</w:t>
      </w:r>
      <w:r>
        <w:rPr>
          <w:rFonts w:hint="eastAsia" w:ascii="仿宋" w:hAnsi="仿宋" w:eastAsia="仿宋" w:cs="仿宋"/>
          <w:color w:val="auto"/>
          <w:spacing w:val="0"/>
          <w:position w:val="0"/>
          <w:sz w:val="32"/>
          <w:szCs w:val="32"/>
          <w:shd w:val="clear" w:color="050000" w:fill="auto"/>
        </w:rPr>
        <w:t>2.3万元，主要用于按规定开支的各类公务接待，比2017年预算数减少5.74万元，下降71%，主要原因：</w:t>
      </w:r>
      <w:r>
        <w:rPr>
          <w:rFonts w:hint="eastAsia" w:ascii="仿宋" w:hAnsi="仿宋" w:eastAsia="仿宋" w:cs="仿宋"/>
          <w:color w:val="3A3535"/>
          <w:spacing w:val="0"/>
          <w:position w:val="0"/>
          <w:sz w:val="32"/>
          <w:szCs w:val="32"/>
          <w:shd w:val="clear" w:color="050000" w:fill="FFFFFF"/>
        </w:rPr>
        <w:t>深入贯彻中央“八项规定”精神等工作要求，严格控制行政成本，大力压缩经费支出</w:t>
      </w:r>
      <w:r>
        <w:rPr>
          <w:rFonts w:hint="eastAsia" w:ascii="仿宋" w:hAnsi="仿宋" w:eastAsia="仿宋" w:cs="仿宋"/>
          <w:color w:val="auto"/>
          <w:spacing w:val="0"/>
          <w:position w:val="0"/>
          <w:sz w:val="32"/>
          <w:szCs w:val="32"/>
          <w:shd w:val="clear" w:color="050000" w:fill="auto"/>
        </w:rPr>
        <w:t>。</w:t>
      </w:r>
    </w:p>
    <w:p>
      <w:pPr>
        <w:widowControl/>
        <w:numPr>
          <w:ilvl w:val="0"/>
          <w:numId w:val="4"/>
        </w:numPr>
        <w:wordWrap/>
        <w:adjustRightInd/>
        <w:snapToGrid/>
        <w:spacing w:before="0" w:after="0" w:line="360" w:lineRule="auto"/>
        <w:ind w:left="777" w:right="0" w:firstLine="0"/>
        <w:jc w:val="both"/>
        <w:textAlignment w:val="auto"/>
        <w:outlineLvl w:val="9"/>
        <w:rPr>
          <w:rFonts w:hint="eastAsia" w:ascii="仿宋" w:hAnsi="仿宋" w:eastAsia="仿宋" w:cs="仿宋"/>
          <w:color w:val="auto"/>
          <w:spacing w:val="-1"/>
          <w:position w:val="0"/>
          <w:sz w:val="32"/>
          <w:szCs w:val="32"/>
          <w:shd w:val="clear" w:color="050000" w:fill="auto"/>
        </w:rPr>
      </w:pPr>
      <w:r>
        <w:rPr>
          <w:rFonts w:hint="eastAsia" w:ascii="仿宋" w:hAnsi="仿宋" w:eastAsia="仿宋" w:cs="仿宋"/>
          <w:color w:val="auto"/>
          <w:spacing w:val="-1"/>
          <w:position w:val="0"/>
          <w:sz w:val="32"/>
          <w:szCs w:val="32"/>
          <w:shd w:val="clear" w:color="050000" w:fill="auto"/>
        </w:rPr>
        <w:t>其他重要事项的情况说明</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b/>
          <w:color w:val="auto"/>
          <w:spacing w:val="0"/>
          <w:position w:val="0"/>
          <w:sz w:val="32"/>
          <w:szCs w:val="32"/>
          <w:shd w:val="clear" w:color="060000" w:fill="auto"/>
        </w:rPr>
        <w:t>（一）机关运行经费支出情况</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组织人社局2018年机关运行经费支出预算11.43万元，主要保障机关机构正常运转及正常履职需要的办公费、水电费、维修费、差旅费等支出，比2017年减少5.52万元，下降33%，主要原因：深入贯彻中央“八项规定”精神等工作要求，严格控制行政成本，大力压缩经费支出。</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b/>
          <w:color w:val="auto"/>
          <w:spacing w:val="0"/>
          <w:position w:val="0"/>
          <w:sz w:val="32"/>
          <w:szCs w:val="32"/>
          <w:shd w:val="clear" w:color="060000" w:fill="auto"/>
        </w:rPr>
      </w:pPr>
      <w:r>
        <w:rPr>
          <w:rFonts w:hint="eastAsia" w:ascii="仿宋" w:hAnsi="仿宋" w:eastAsia="仿宋" w:cs="仿宋"/>
          <w:b/>
          <w:color w:val="auto"/>
          <w:spacing w:val="0"/>
          <w:position w:val="0"/>
          <w:sz w:val="32"/>
          <w:szCs w:val="32"/>
          <w:shd w:val="clear" w:color="060000" w:fill="auto"/>
        </w:rPr>
        <w:t>（二）政府采购支出情况</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2018年政府采购预算安排0万元。</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b/>
          <w:color w:val="auto"/>
          <w:spacing w:val="0"/>
          <w:position w:val="0"/>
          <w:sz w:val="32"/>
          <w:szCs w:val="32"/>
          <w:shd w:val="clear" w:color="060000" w:fill="auto"/>
        </w:rPr>
      </w:pPr>
      <w:r>
        <w:rPr>
          <w:rFonts w:hint="eastAsia" w:ascii="仿宋" w:hAnsi="仿宋" w:eastAsia="仿宋" w:cs="仿宋"/>
          <w:b/>
          <w:color w:val="auto"/>
          <w:spacing w:val="0"/>
          <w:position w:val="0"/>
          <w:sz w:val="32"/>
          <w:szCs w:val="32"/>
          <w:shd w:val="clear" w:color="060000" w:fill="auto"/>
        </w:rPr>
        <w:t>（三）关于预算绩效管理工作开展情况说明</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2017年,我部门对1个项目进行了预算绩效评价，涉及资金200万元。 2018年，我部门纳入预算绩效管理的支出总额为1451.85万元。其中人员经费支出</w:t>
      </w:r>
      <w:r>
        <w:rPr>
          <w:rFonts w:hint="eastAsia" w:ascii="仿宋" w:hAnsi="仿宋" w:eastAsia="仿宋" w:cs="仿宋"/>
          <w:color w:val="auto"/>
          <w:spacing w:val="0"/>
          <w:position w:val="0"/>
          <w:sz w:val="32"/>
          <w:szCs w:val="32"/>
          <w:shd w:val="clear" w:color="050000" w:fill="auto"/>
          <w:lang w:val="en-US" w:eastAsia="zh-CN"/>
        </w:rPr>
        <w:t>102.2</w:t>
      </w:r>
      <w:r>
        <w:rPr>
          <w:rFonts w:hint="eastAsia" w:ascii="仿宋" w:hAnsi="仿宋" w:eastAsia="仿宋" w:cs="仿宋"/>
          <w:color w:val="auto"/>
          <w:spacing w:val="0"/>
          <w:position w:val="0"/>
          <w:sz w:val="32"/>
          <w:szCs w:val="32"/>
          <w:shd w:val="clear" w:color="050000" w:fill="auto"/>
        </w:rPr>
        <w:t>万元，公用经费支出</w:t>
      </w:r>
      <w:r>
        <w:rPr>
          <w:rFonts w:hint="eastAsia" w:ascii="仿宋" w:hAnsi="仿宋" w:eastAsia="仿宋" w:cs="仿宋"/>
          <w:color w:val="auto"/>
          <w:spacing w:val="0"/>
          <w:position w:val="0"/>
          <w:sz w:val="32"/>
          <w:szCs w:val="32"/>
          <w:shd w:val="clear" w:color="050000" w:fill="auto"/>
          <w:lang w:val="en-US" w:eastAsia="zh-CN"/>
        </w:rPr>
        <w:t>11.43</w:t>
      </w:r>
      <w:r>
        <w:rPr>
          <w:rFonts w:hint="eastAsia" w:ascii="仿宋" w:hAnsi="仿宋" w:eastAsia="仿宋" w:cs="仿宋"/>
          <w:color w:val="auto"/>
          <w:spacing w:val="0"/>
          <w:position w:val="0"/>
          <w:sz w:val="32"/>
          <w:szCs w:val="32"/>
          <w:shd w:val="clear" w:color="050000" w:fill="auto"/>
        </w:rPr>
        <w:t xml:space="preserve">万元，支出项目共35个，支出总额1338.22万元，其中预算支出100万元及100万元以上项目4个，支出总额910万元。 </w:t>
      </w:r>
    </w:p>
    <w:p>
      <w:pPr>
        <w:widowControl/>
        <w:wordWrap/>
        <w:adjustRightInd/>
        <w:snapToGrid/>
        <w:spacing w:before="0" w:after="0" w:line="360" w:lineRule="auto"/>
        <w:ind w:left="0" w:right="0" w:firstLine="0"/>
        <w:jc w:val="both"/>
        <w:textAlignment w:val="auto"/>
        <w:outlineLvl w:val="9"/>
        <w:rPr>
          <w:rFonts w:hint="eastAsia" w:ascii="仿宋" w:hAnsi="仿宋" w:eastAsia="仿宋" w:cs="仿宋"/>
          <w:b/>
          <w:color w:val="auto"/>
          <w:spacing w:val="0"/>
          <w:position w:val="0"/>
          <w:sz w:val="32"/>
          <w:szCs w:val="32"/>
          <w:shd w:val="clear" w:color="060000" w:fill="auto"/>
        </w:rPr>
      </w:pPr>
      <w:r>
        <w:rPr>
          <w:rFonts w:hint="eastAsia" w:ascii="仿宋" w:hAnsi="仿宋" w:eastAsia="仿宋" w:cs="仿宋"/>
          <w:b/>
          <w:color w:val="auto"/>
          <w:spacing w:val="0"/>
          <w:position w:val="0"/>
          <w:sz w:val="32"/>
          <w:szCs w:val="32"/>
          <w:shd w:val="clear" w:color="060000" w:fill="auto"/>
          <w:lang w:val="en-US" w:eastAsia="zh-CN"/>
        </w:rPr>
        <w:t xml:space="preserve">    </w:t>
      </w:r>
      <w:r>
        <w:rPr>
          <w:rFonts w:hint="eastAsia" w:ascii="仿宋" w:hAnsi="仿宋" w:eastAsia="仿宋" w:cs="仿宋"/>
          <w:b/>
          <w:color w:val="auto"/>
          <w:spacing w:val="0"/>
          <w:position w:val="0"/>
          <w:sz w:val="32"/>
          <w:szCs w:val="32"/>
          <w:shd w:val="clear" w:color="060000" w:fill="auto"/>
        </w:rPr>
        <w:t>（四）国有资产占用情况</w:t>
      </w:r>
    </w:p>
    <w:p>
      <w:pPr>
        <w:widowControl/>
        <w:wordWrap/>
        <w:adjustRightInd/>
        <w:snapToGrid/>
        <w:spacing w:before="0" w:after="0" w:line="360" w:lineRule="auto"/>
        <w:ind w:left="0" w:right="0" w:firstLine="624"/>
        <w:jc w:val="left"/>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2017年期末，组织人社局固定资产总额234.55万元，无房屋建筑物及车辆，无单价50万元以上通用设备及单价100万元以上专用设备。</w:t>
      </w:r>
    </w:p>
    <w:p>
      <w:pPr>
        <w:widowControl/>
        <w:wordWrap/>
        <w:adjustRightInd/>
        <w:snapToGrid/>
        <w:spacing w:before="0" w:after="0" w:line="360" w:lineRule="auto"/>
        <w:ind w:left="0" w:right="0" w:firstLine="624"/>
        <w:jc w:val="left"/>
        <w:textAlignment w:val="auto"/>
        <w:outlineLvl w:val="9"/>
        <w:rPr>
          <w:rFonts w:hint="eastAsia" w:ascii="仿宋" w:hAnsi="仿宋" w:eastAsia="仿宋" w:cs="仿宋"/>
          <w:b/>
          <w:color w:val="auto"/>
          <w:spacing w:val="0"/>
          <w:position w:val="0"/>
          <w:sz w:val="32"/>
          <w:szCs w:val="32"/>
          <w:shd w:val="clear" w:color="060000" w:fill="auto"/>
        </w:rPr>
      </w:pPr>
      <w:r>
        <w:rPr>
          <w:rFonts w:hint="eastAsia" w:ascii="仿宋" w:hAnsi="仿宋" w:eastAsia="仿宋" w:cs="仿宋"/>
          <w:b/>
          <w:color w:val="auto"/>
          <w:spacing w:val="0"/>
          <w:position w:val="0"/>
          <w:sz w:val="32"/>
          <w:szCs w:val="32"/>
          <w:shd w:val="clear" w:color="060000" w:fill="auto"/>
        </w:rPr>
        <w:t>（五）关于预算部门构成说明</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b/>
          <w:color w:val="auto"/>
          <w:spacing w:val="0"/>
          <w:position w:val="0"/>
          <w:sz w:val="32"/>
          <w:szCs w:val="32"/>
          <w:shd w:val="clear" w:color="060000" w:fill="auto"/>
        </w:rPr>
      </w:pPr>
      <w:r>
        <w:rPr>
          <w:rFonts w:hint="eastAsia" w:ascii="仿宋" w:hAnsi="仿宋" w:eastAsia="仿宋" w:cs="仿宋"/>
          <w:color w:val="auto"/>
          <w:spacing w:val="0"/>
          <w:position w:val="0"/>
          <w:sz w:val="32"/>
          <w:szCs w:val="32"/>
          <w:shd w:val="clear" w:color="050000" w:fill="auto"/>
        </w:rPr>
        <w:t>2018年我单位按照市财政预算公开要求，将所属预算单位全部纳入预算公开范围。</w:t>
      </w:r>
    </w:p>
    <w:p>
      <w:pPr>
        <w:widowControl/>
        <w:wordWrap/>
        <w:adjustRightInd/>
        <w:snapToGrid/>
        <w:spacing w:before="0" w:after="0" w:line="360" w:lineRule="auto"/>
        <w:ind w:left="0" w:right="0" w:firstLine="0"/>
        <w:jc w:val="center"/>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第三部分 名词解释</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一、财政拨款收入：是指市级财政当年拨付的资金。</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二、事业收入：是指事业单位开展专业活动及辅助活动所取 得的收入。</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 xml:space="preserve">三、其他收入：是指部门取得的除“财政拨款”、“事业收入”、“事业单位经营收入”等以外的收入。 </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四、基本支出：是指为保障机构正常运转、完成日常工作任务所必需的开支，其内容包括人员经费和日常公用经费两部分。</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五、项目支出：是指在基本支出之外，为完成特定的行政工作任务或事业发展目标所发生的支出。</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六、“三公”经费：是指纳入市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七、机关运行经费：是指为保障行政机构正常运转及正常履职需要的办公费、水电费、日常维修、物业费、维修费、差旅费、公务用车运行维护费以及其他费用等支出。</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附件：示范区组织人社局2018年度部门预算表</w:t>
      </w: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p>
    <w:p>
      <w:pPr>
        <w:widowControl/>
        <w:wordWrap/>
        <w:adjustRightInd/>
        <w:snapToGrid/>
        <w:spacing w:before="0" w:after="0" w:line="360" w:lineRule="auto"/>
        <w:ind w:left="0" w:right="0" w:firstLine="624"/>
        <w:jc w:val="both"/>
        <w:textAlignment w:val="auto"/>
        <w:outlineLvl w:val="9"/>
        <w:rPr>
          <w:rFonts w:hint="eastAsia" w:ascii="仿宋" w:hAnsi="仿宋" w:eastAsia="仿宋" w:cs="仿宋"/>
          <w:color w:val="auto"/>
          <w:spacing w:val="0"/>
          <w:position w:val="0"/>
          <w:sz w:val="32"/>
          <w:szCs w:val="32"/>
          <w:shd w:val="clear" w:color="050000" w:fill="auto"/>
        </w:rPr>
      </w:pPr>
      <w:r>
        <w:rPr>
          <w:rFonts w:hint="eastAsia" w:ascii="仿宋" w:hAnsi="仿宋" w:eastAsia="仿宋" w:cs="仿宋"/>
          <w:color w:val="auto"/>
          <w:spacing w:val="0"/>
          <w:position w:val="0"/>
          <w:sz w:val="32"/>
          <w:szCs w:val="32"/>
          <w:shd w:val="clear" w:color="050000" w:fill="auto"/>
        </w:rPr>
        <w:t xml:space="preserve">                           2018年10月9日</w:t>
      </w:r>
    </w:p>
    <w:sectPr>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1"/>
      <w:numFmt w:val="bullet"/>
      <w:lvlText w:val="•"/>
      <w:lvlJc w:val="left"/>
    </w:lvl>
  </w:abstractNum>
  <w:abstractNum w:abstractNumId="1">
    <w:nsid w:val="00000001"/>
    <w:multiLevelType w:val="singleLevel"/>
    <w:tmpl w:val="00000001"/>
    <w:lvl w:ilvl="0" w:tentative="0">
      <w:start w:val="1"/>
      <w:numFmt w:val="bullet"/>
      <w:lvlText w:val="•"/>
      <w:lvlJc w:val="left"/>
    </w:lvl>
  </w:abstractNum>
  <w:abstractNum w:abstractNumId="2">
    <w:nsid w:val="00000002"/>
    <w:multiLevelType w:val="singleLevel"/>
    <w:tmpl w:val="00000002"/>
    <w:lvl w:ilvl="0" w:tentative="0">
      <w:start w:val="1"/>
      <w:numFmt w:val="bullet"/>
      <w:lvlText w:val="•"/>
      <w:lvlJc w:val="left"/>
    </w:lvl>
  </w:abstractNum>
  <w:abstractNum w:abstractNumId="3">
    <w:nsid w:val="00000003"/>
    <w:multiLevelType w:val="singleLevel"/>
    <w:tmpl w:val="00000003"/>
    <w:lvl w:ilvl="0" w:tentative="0">
      <w:start w:val="1"/>
      <w:numFmt w:val="bullet"/>
      <w:lvlText w:val="•"/>
      <w:lvlJc w:val="left"/>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isplayHorizontalDrawingGridEvery w:val="0"/>
  <w:displayVerticalDrawingGridEvery w:val="0"/>
  <w:doNotUseMarginsForDrawingGridOrigin w:val="1"/>
  <w:drawingGridHorizontalOrigin w:val="0"/>
  <w:drawingGridVerticalOrigin w:val="0"/>
  <w:doNotShadeFormData w:val="1"/>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2E055E04"/>
    <w:rsid w:val="3B115FD8"/>
    <w:rsid w:val="5B5901B6"/>
    <w:rsid w:val="74D4156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iPriority="99"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lang w:val="en-US" w:eastAsia="zh-CN" w:bidi="ar-SA"/>
    </w:rPr>
  </w:style>
  <w:style w:type="character" w:default="1" w:styleId="3">
    <w:name w:val="Default Paragraph Font"/>
    <w:semiHidden/>
    <w:unhideWhenUsed/>
    <w:uiPriority w:val="99"/>
  </w:style>
  <w:style w:type="table" w:default="1" w:styleId="2">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Office_11.1.0.8391_F1E327BC-269C-435d-A152-05C5408002CA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2018-11-01T08:36:00Z</dcterms:created>
  <dc:creator>Administrator</dc:creator>
  <cp:lastModifiedBy>Lenovo</cp:lastModifiedBy>
  <dcterms:modified xsi:type="dcterms:W3CDTF">2019-02-26T09:12:19Z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2052-11.1.0.8391</vt:lpwstr>
  </property>
</Properties>
</file>