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管委会办公室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管委会办公室2018年部门预算情况说明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ind w:firstLine="312" w:firstLine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本单位内设秘书科、督查科，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规格为副县级，实有工作人员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名，副县级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1名，正科级人员3名，副科级人员1名，科员2名，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下设</w:t>
      </w:r>
      <w:r>
        <w:rPr>
          <w:rFonts w:hint="eastAsia" w:ascii="仿宋_GB2312" w:hAnsi="仿宋_GB2312" w:eastAsia="仿宋_GB2312" w:cs="仿宋_GB2312"/>
          <w:sz w:val="32"/>
          <w:szCs w:val="32"/>
        </w:rPr>
        <w:t>二级机构机关事务管理中心，全部为财政全供单位。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left="0" w:leftChars="0"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ind w:firstLine="624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负责工委、管委会日常事务的综合协调工作；承办公文处理、机要保密、文书档案、信息调研、党务政务、政策法制、督办查办、会务组织、外事接待、社会治安综合治理和信访稳定工作；负责值班保卫、机关财务和后勤管理工作。</w:t>
      </w: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360" w:lineRule="auto"/>
        <w:ind w:left="0" w:leftChars="0" w:right="3569" w:firstLine="624" w:firstLineChars="20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预算单位构成</w:t>
      </w:r>
    </w:p>
    <w:p>
      <w:pPr>
        <w:widowControl w:val="0"/>
        <w:numPr>
          <w:numId w:val="0"/>
        </w:numPr>
        <w:kinsoku w:val="0"/>
        <w:wordWrap/>
        <w:overflowPunct w:val="0"/>
        <w:adjustRightInd w:val="0"/>
        <w:snapToGrid w:val="0"/>
        <w:spacing w:line="360" w:lineRule="auto"/>
        <w:ind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纳入管委会办公室2018年度预算编制范围的单位共1个，包括管委会办公室1个行政单位。下设机关事务管理中心1个事业单位</w:t>
      </w: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管委会办公室2018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668.23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668.23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1.21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人员支出增加64.23万元，公用支出减少104.23万元，专项支出增加88万元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668.23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668.23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；政府性基金预算收入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0万元；国有资本经营预算收入0万元；其他收入0万元。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668.23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335.23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50.17%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333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49.83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668.23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7.74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人员支出增加64.23万元，公用支出减少104.23万元，专项支出增加88万元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668.23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625.04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93.55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%；教育支出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1.49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21.19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3.17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城乡社区支出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1.49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其他支出2万元，占0.3%。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335.23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300.57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基本工资、津贴补贴、奖金、机关事业单位基本养老保险缴费、职业年金缴费、医疗保险缴费、其他社会保障缴费、住房公积金、退休费；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41.23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，主要包括：办公费、印刷费、手续费、电费、邮电费、差旅费、维修（护）费、会议费、培训费、公务接待费、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工会经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费、福利费、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其他交通费用、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其他商品和服务支出。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年没有使用政府性基金预算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拨款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安排的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年没有使用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numPr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23.57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78.87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76.99%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23.57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接待来往客商及安排全市项目观摩活动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2017年预算数减少78.87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76.99%，主要原因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贯彻落实中央“八项规定”精神，进一步压缩三公经费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widowControl/>
        <w:wordWrap/>
        <w:adjustRightInd/>
        <w:snapToGrid/>
        <w:spacing w:line="590" w:lineRule="exact"/>
        <w:ind w:left="0" w:leftChars="0" w:right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34.66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万元，主要保障机关机构正常运转及正常履职需要的办公费、电费、维修费、差旅费等支出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2017年减少104.23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75.04%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贯彻落实中央“八项规定”精神，厉行节约，杜绝浪费，尽量压减机关运行支出。</w:t>
      </w:r>
    </w:p>
    <w:p>
      <w:pPr>
        <w:numPr>
          <w:ilvl w:val="0"/>
          <w:numId w:val="3"/>
        </w:numPr>
        <w:ind w:left="0" w:leftChars="0"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政府采购情况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2018年政府采购预算安排0万元。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，我部门对1个项目进行了预算绩效评价，涉及资金9万元。2018年我部门纳入预算绩效管理的支出总额为668.23万元，其中人员经费300.57万元，公用经费支出41.23万元，支出项目共19个，支出总额318万元，其中预算支出100万元及100万元以上项目0个，支出总额0万元。</w:t>
      </w:r>
    </w:p>
    <w:p>
      <w:pPr>
        <w:numPr>
          <w:numId w:val="0"/>
        </w:numPr>
        <w:ind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366.86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车辆146.91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无房屋建筑物，无单价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50万元以上通用设备及100万元以上专用设备。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管委会办公室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477012196">
    <w:nsid w:val="CF3EFEE4"/>
    <w:multiLevelType w:val="singleLevel"/>
    <w:tmpl w:val="CF3EFEE4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517907436"/>
  </w:num>
  <w:num w:numId="2">
    <w:abstractNumId w:val="3477012196"/>
  </w:num>
  <w:num w:numId="3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2018-11-02T01:15:19Z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