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djustRightInd w:val="0"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  <w:lang w:eastAsia="zh-CN"/>
        </w:rPr>
      </w:pPr>
      <w:r>
        <w:rPr>
          <w:rFonts w:hint="eastAsia" w:ascii="黑体" w:hAnsi="黑体" w:eastAsia="黑体" w:cs="黑体"/>
          <w:sz w:val="52"/>
          <w:szCs w:val="52"/>
          <w:lang w:eastAsia="zh-CN"/>
        </w:rPr>
        <w:t>城乡居民社会养老保险管理中心</w:t>
      </w: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201</w:t>
      </w: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8</w:t>
      </w:r>
      <w:r>
        <w:rPr>
          <w:rFonts w:hint="eastAsia" w:ascii="黑体" w:hAnsi="黑体" w:eastAsia="黑体" w:cs="黑体"/>
          <w:sz w:val="52"/>
          <w:szCs w:val="52"/>
        </w:rPr>
        <w:t>年度部门</w:t>
      </w:r>
      <w:r>
        <w:rPr>
          <w:rFonts w:hint="eastAsia" w:ascii="黑体" w:hAnsi="黑体" w:eastAsia="黑体" w:cs="黑体"/>
          <w:sz w:val="52"/>
          <w:szCs w:val="52"/>
          <w:lang w:eastAsia="zh-CN"/>
        </w:rPr>
        <w:t>预</w:t>
      </w:r>
      <w:r>
        <w:rPr>
          <w:rFonts w:hint="eastAsia" w:ascii="黑体" w:hAnsi="黑体" w:eastAsia="黑体" w:cs="黑体"/>
          <w:sz w:val="52"/>
          <w:szCs w:val="52"/>
        </w:rPr>
        <w:t>算</w:t>
      </w: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101" w:right="3569"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hint="eastAsia" w:ascii="仿宋_GB2312" w:hAnsi="仿宋_GB2312" w:eastAsia="仿宋_GB2312" w:cs="仿宋_GB2312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44"/>
          <w:szCs w:val="44"/>
        </w:rPr>
        <w:t>目</w:t>
      </w:r>
      <w:r>
        <w:rPr>
          <w:rFonts w:hint="eastAsia" w:ascii="仿宋_GB2312" w:hAnsi="仿宋_GB2312" w:eastAsia="仿宋_GB2312" w:cs="仿宋_GB2312"/>
          <w:spacing w:val="2"/>
          <w:sz w:val="44"/>
          <w:szCs w:val="44"/>
        </w:rPr>
        <w:t xml:space="preserve"> </w:t>
      </w:r>
      <w:r>
        <w:rPr>
          <w:rFonts w:hint="eastAsia" w:ascii="仿宋_GB2312" w:hAnsi="仿宋_GB2312" w:eastAsia="仿宋_GB2312" w:cs="仿宋_GB2312"/>
          <w:sz w:val="44"/>
          <w:szCs w:val="44"/>
        </w:rPr>
        <w:t>录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rPr>
          <w:rFonts w:hint="eastAsia" w:ascii="仿宋_GB2312" w:hAnsi="仿宋_GB2312" w:eastAsia="仿宋_GB2312" w:cs="仿宋_GB2312"/>
          <w:w w:val="99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第一部分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  <w:r>
        <w:rPr>
          <w:rFonts w:hint="eastAsia" w:ascii="仿宋_GB2312" w:hAnsi="仿宋_GB2312" w:eastAsia="仿宋_GB2312" w:cs="仿宋_GB2312"/>
          <w:w w:val="99"/>
          <w:sz w:val="32"/>
          <w:szCs w:val="32"/>
        </w:rPr>
        <w:t xml:space="preserve"> 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一、主要职能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二、部门预算单位构成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第二部门 城居保中心2018年部门预算情况说明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第三部分 名词解释</w:t>
      </w:r>
    </w:p>
    <w:p>
      <w:pPr>
        <w:kinsoku w:val="0"/>
        <w:overflowPunct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pacing w:val="-3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城居保中心2018</w:t>
      </w:r>
      <w:r>
        <w:rPr>
          <w:rFonts w:hint="eastAsia" w:ascii="仿宋_GB2312" w:hAnsi="仿宋_GB2312" w:eastAsia="仿宋_GB2312" w:cs="仿宋_GB2312"/>
          <w:spacing w:val="-11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一、部门收支总体情况表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二、部门收入总体情况表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三、部门支出总体情况表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六、一般公共预算基本支出情况表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七、一般公共预算“三公”经费支出情况表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八、政府性基金预算支出情况表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九、国有资本经营预算收支情况表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十、机关运行经费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十一、预算项目支出绩效目标表</w:t>
      </w: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第一部分</w:t>
      </w: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城乡居民社会养老保险管理中心部门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24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主要职能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622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机构设置情况：</w:t>
      </w:r>
    </w:p>
    <w:p>
      <w:pPr>
        <w:numPr>
          <w:numId w:val="0"/>
        </w:numPr>
        <w:adjustRightInd w:val="0"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32"/>
          <w:szCs w:val="32"/>
        </w:rPr>
        <w:t>隶属于焦作市示范区组织人力资源社会保障局领导，人员编制10名。经费供应方式为财政全供。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left="0" w:leftChars="0" w:firstLine="622" w:firstLineChars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部门职责：</w:t>
      </w:r>
    </w:p>
    <w:p>
      <w:pPr>
        <w:numPr>
          <w:numId w:val="0"/>
        </w:numPr>
        <w:adjustRightInd w:val="0"/>
        <w:snapToGrid w:val="0"/>
        <w:spacing w:line="360" w:lineRule="auto"/>
        <w:ind w:firstLine="624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</w:rPr>
        <w:t>负责城乡居民养老保险基金的征收、管理；负责参保人员</w:t>
      </w:r>
      <w:r>
        <w:rPr>
          <w:rFonts w:hint="eastAsia" w:ascii="仿宋_GB2312" w:hAnsi="仿宋_GB2312" w:eastAsia="仿宋_GB2312"/>
          <w:sz w:val="32"/>
          <w:lang w:eastAsia="zh-CN"/>
        </w:rPr>
        <w:t>资</w:t>
      </w:r>
      <w:r>
        <w:rPr>
          <w:rFonts w:hint="eastAsia" w:ascii="仿宋_GB2312" w:hAnsi="仿宋_GB2312" w:eastAsia="仿宋_GB2312"/>
          <w:sz w:val="32"/>
        </w:rPr>
        <w:t>格审查、建立个人账户；负责按时足额发放养老金。</w:t>
      </w:r>
    </w:p>
    <w:p>
      <w:pPr>
        <w:numPr>
          <w:numId w:val="0"/>
        </w:numPr>
        <w:adjustRightInd w:val="0"/>
        <w:snapToGrid w:val="0"/>
        <w:spacing w:line="360" w:lineRule="auto"/>
        <w:ind w:firstLine="622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二、城乡居民社会养老保险管理中心预算单位构成</w:t>
      </w:r>
    </w:p>
    <w:p>
      <w:pPr>
        <w:numPr>
          <w:numId w:val="0"/>
        </w:numPr>
        <w:adjustRightInd w:val="0"/>
        <w:snapToGrid w:val="0"/>
        <w:spacing w:line="360" w:lineRule="auto"/>
        <w:ind w:firstLine="622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本中心为本级预算单位。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jc w:val="left"/>
        <w:outlineLvl w:val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ind w:firstLine="3438" w:firstLineChars="1102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第二部分</w:t>
      </w: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城乡居民社会养老保险管理中心</w:t>
      </w: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年度部门预算情况说明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Arial" w:hAnsi="Arial" w:eastAsia="仿宋_GB2312" w:cs="Arial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城居保中心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109.36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万元，支出总计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109.36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年相比，收、支总计各增加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21.46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24.42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。主要原因：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本单位编制内人员增加，人员经费等提高，工资福利待遇等补助幅度提高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。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 xml:space="preserve">  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二、收入预算总体情况说明</w:t>
      </w:r>
    </w:p>
    <w:p>
      <w:pPr>
        <w:widowControl/>
        <w:shd w:val="clear" w:color="auto" w:fill="FFFFFF"/>
        <w:spacing w:line="560" w:lineRule="atLeast"/>
        <w:ind w:firstLine="640"/>
        <w:jc w:val="left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城居保中心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年收入合计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109.36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万元，其中：一般公共预算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109.36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万元;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政府性基金预算收入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国有资本经营预算收入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万元；其他收入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三、支出预算总体情况说明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城居保中心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年支出合计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109.36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万元，其中：基本支出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94.36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86.28%</w:t>
      </w:r>
      <w:r>
        <w:rPr>
          <w:rFonts w:hint="eastAsia" w:ascii="仿宋_GB2312" w:hAnsi="仿宋_GB2312" w:eastAsia="仿宋_GB2312" w:cs="仿宋_GB2312"/>
          <w:sz w:val="32"/>
          <w:szCs w:val="32"/>
        </w:rPr>
        <w:t>；项目支出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13.72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四、财政拨款收入支出预算总体情况说明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城居保中心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年一般公共预算收支预算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109.36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政府性基金收支预算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与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sz w:val="32"/>
          <w:szCs w:val="32"/>
        </w:rPr>
        <w:t>年相比，一般公共预算收支预算增加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21.46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24.42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主要原因：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主要原因：人员经费增加和部分项目预算增加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无政府性基金预算。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五、一般公共预算支出预算情况说明</w:t>
      </w:r>
    </w:p>
    <w:p>
      <w:pPr>
        <w:widowControl/>
        <w:ind w:firstLine="622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城居保中心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年一般公共预算支出年初预算为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109.36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万元。主要用于以下方面：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社会保障和就业支出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109.36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六、一般公共预算基本支出预算情况说明</w:t>
      </w:r>
    </w:p>
    <w:p>
      <w:pPr>
        <w:widowControl/>
        <w:ind w:firstLine="622"/>
        <w:jc w:val="left"/>
        <w:rPr>
          <w:rFonts w:hint="eastAsia" w:ascii="仿宋_GB2312" w:hAnsi="仿宋_GB2312" w:eastAsia="仿宋_GB2312" w:cs="仿宋_GB2312"/>
          <w:b w:val="0"/>
          <w:bCs w:val="0"/>
          <w:color w:val="FF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城居保中心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年一般公共预算基本支出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94.36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b/>
          <w:bCs w:val="0"/>
          <w:spacing w:val="-1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b/>
          <w:bCs w:val="0"/>
          <w:spacing w:val="-1"/>
          <w:kern w:val="0"/>
          <w:sz w:val="32"/>
          <w:szCs w:val="32"/>
          <w:lang w:val="en-US" w:eastAsia="zh-CN"/>
        </w:rPr>
        <w:t>91.41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主要包括：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基本工资、津贴补贴、奖金、绩效工资、机关事业单位基本养老保险缴费、职业年金缴费、医疗保险缴费、其他社会保障缴费、住房公积金、其他工资福利支出、离休费、退休费、其他对个人和家庭的补助支出；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2.95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主要包括：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办公费、印刷费、咨询费、手续费、水费、电费、邮电费、取暖费、差旅费、维修（护）费、会议费、培训费、公务接待费、劳务费、委托业务费、福利费、公务用车运行维护费、其他商品和服务支出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.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七、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政府性基金预算支出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我单位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年没有使用政府性基金预算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拨款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安排的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八、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有资本经营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算情况说明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我单位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年没有使用政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国有资本经营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预算拨款安排的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numPr>
          <w:numId w:val="0"/>
        </w:num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、“三公”经费支出预算情况说明</w:t>
      </w:r>
    </w:p>
    <w:p>
      <w:pPr>
        <w:widowControl/>
        <w:ind w:firstLine="624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城居保中心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年“三公”经费预算为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0.47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比 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，下降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38.96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numId w:val="0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具体支出情况如下：</w:t>
      </w:r>
    </w:p>
    <w:p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left="0" w:leftChars="0" w:firstLine="62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万元,与2017年持平。</w:t>
      </w:r>
    </w:p>
    <w:p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left="0" w:leftChars="0" w:firstLine="62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公务用车购置及运行费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0.12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。其中公务车辆购置费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万元，与2017年持平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公务用车运行维护费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0.12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主要用于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公务用车运行维护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,与2017年持平。</w:t>
      </w:r>
    </w:p>
    <w:p>
      <w:pPr>
        <w:spacing w:line="560" w:lineRule="exact"/>
        <w:ind w:firstLine="62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（三）公务接待费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0.35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主要用于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本单位加班就餐，比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2017年预算数减少0.3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46.15%，主要原因：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深入贯彻中央“八项规定”精神等工作要求，大力压缩“三公”经费。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  <w:lang w:eastAsia="zh-CN"/>
        </w:rPr>
        <w:t>十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</w:rPr>
        <w:t>、其他重要事项的情况说明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shd w:val="clear" w:color="030000" w:fill="FF0000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城居保中心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2.95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万元，主要保障机关机构正常运转及正常履职需要的办公费、水电费、物业费、维修费、差旅费等支出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2017年减少4.69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万元，主要原因：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A3535"/>
          <w:spacing w:val="0"/>
          <w:sz w:val="32"/>
          <w:szCs w:val="32"/>
          <w:shd w:val="clear" w:color="080000" w:fill="FFFFFF"/>
        </w:rPr>
        <w:t>深入贯彻中央“八项规定”精神等工作要求，严格控制行政成本，大力压缩经费支出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（二）政府采购支出情况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2018年政府采购预算安排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（三）关于预算绩效管理工作开展情况说明</w:t>
      </w:r>
    </w:p>
    <w:p>
      <w:pPr>
        <w:numPr>
          <w:numId w:val="0"/>
        </w:numPr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,我部门对1</w:t>
      </w:r>
      <w:r>
        <w:rPr>
          <w:rFonts w:hint="eastAsia" w:ascii="仿宋_GB2312" w:hAnsi="仿宋_GB2312" w:eastAsia="仿宋_GB2312" w:cs="仿宋_GB2312"/>
          <w:sz w:val="32"/>
          <w:szCs w:val="32"/>
        </w:rPr>
        <w:t>个项目进行了预算绩效评价，涉及资金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2018年，我部门纳入预算绩效管理的支出总额为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109.36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万元，其中人员经费支出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91.41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万元，公用经费支出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2.95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万元，支出项目共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个，支出总额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万元，其中预算支出100万元及100万元以上项目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个，支出总额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万元。 </w:t>
      </w:r>
    </w:p>
    <w:p>
      <w:pPr>
        <w:numPr>
          <w:numId w:val="0"/>
        </w:numPr>
        <w:ind w:left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（四）国有资产占用情况</w:t>
      </w:r>
    </w:p>
    <w:p>
      <w:pPr>
        <w:widowControl/>
        <w:spacing w:line="360" w:lineRule="auto"/>
        <w:ind w:firstLine="624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017年期末，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城居保中心固定资产总额为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1.82万元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。无房屋建筑物及车辆，无单价50万元以上通用设备及单价100万元以上专用设备。</w:t>
      </w:r>
    </w:p>
    <w:p>
      <w:pPr>
        <w:widowControl/>
        <w:ind w:firstLine="624" w:firstLineChars="200"/>
        <w:jc w:val="left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）关于预算部门构成说明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财政预算公开要求，将所属预算单位全部纳入预算公开范围。</w:t>
      </w:r>
    </w:p>
    <w:p>
      <w:pPr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第三部分 名词解释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一、财政拨款收入：是指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级财政当年拨付的资金。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、基本支出：是指为保障机构正常运转、完成日常工作任务所必需的开支，其内容包括人员经费和日常公用经费两部分。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、项目支出：是指在基本支出之外，为完成特定的行政工作任务或事业发展目标所发生的支出。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、“三公”经费：是指纳入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七</w:t>
      </w:r>
      <w:r>
        <w:rPr>
          <w:rFonts w:hint="eastAsia" w:ascii="仿宋_GB2312" w:hAnsi="宋体" w:eastAsia="仿宋_GB2312" w:cs="Courier New"/>
          <w:sz w:val="32"/>
          <w:szCs w:val="32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机关运行经费</w:t>
      </w:r>
      <w:r>
        <w:rPr>
          <w:rFonts w:hint="eastAsia" w:ascii="仿宋_GB2312" w:hAnsi="宋体" w:eastAsia="仿宋_GB2312" w:cs="Courier New"/>
          <w:sz w:val="32"/>
          <w:szCs w:val="32"/>
        </w:rPr>
        <w:t>：是指为保障行政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机构正常运转及正常履职需要的办公费、水电费、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日常维修、</w:t>
      </w:r>
      <w:r>
        <w:rPr>
          <w:rFonts w:hint="eastAsia" w:ascii="仿宋_GB2312" w:hAnsi="仿宋_GB2312" w:eastAsia="仿宋_GB2312" w:cs="仿宋_GB2312"/>
          <w:sz w:val="32"/>
          <w:szCs w:val="32"/>
        </w:rPr>
        <w:t>物业费、维修费、差旅费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</w:rPr>
        <w:t>公务用车运行维护费以及其他费用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城居保中心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2018年10月9日</w:t>
      </w:r>
    </w:p>
    <w:sectPr>
      <w:pgSz w:w="11906" w:h="16838"/>
      <w:pgMar w:top="2154" w:right="1474" w:bottom="1757" w:left="1587" w:header="851" w:footer="992" w:gutter="0"/>
      <w:cols w:space="720" w:num="1"/>
      <w:rtlGutter w:val="0"/>
      <w:docGrid w:type="linesAndChars" w:linePitch="312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31889585">
    <w:nsid w:val="5B4EC7B1"/>
    <w:multiLevelType w:val="singleLevel"/>
    <w:tmpl w:val="5B4EC7B1"/>
    <w:lvl w:ilvl="0" w:tentative="1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49039507">
    <w:nsid w:val="2CA56F93"/>
    <w:multiLevelType w:val="singleLevel"/>
    <w:tmpl w:val="2CA56F93"/>
    <w:lvl w:ilvl="0" w:tentative="1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515138474">
    <w:nsid w:val="5A4F2DAA"/>
    <w:multiLevelType w:val="singleLevel"/>
    <w:tmpl w:val="5A4F2DAA"/>
    <w:lvl w:ilvl="0" w:tentative="1">
      <w:start w:val="1"/>
      <w:numFmt w:val="chineseCounting"/>
      <w:suff w:val="nothing"/>
      <w:lvlText w:val="（%1）"/>
      <w:lvlJc w:val="left"/>
    </w:lvl>
  </w:abstractNum>
  <w:num w:numId="1">
    <w:abstractNumId w:val="1531889585"/>
  </w:num>
  <w:num w:numId="2">
    <w:abstractNumId w:val="749039507"/>
  </w:num>
  <w:num w:numId="3">
    <w:abstractNumId w:val="151513847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1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2018-01-04T09:29:00Z</dcterms:created>
  <dc:creator>Administrator</dc:creator>
  <cp:lastModifiedBy>Lenovo</cp:lastModifiedBy>
  <cp:lastPrinted>2018-08-06T00:36:00Z</cp:lastPrinted>
  <dcterms:modified xsi:type="dcterms:W3CDTF">2018-11-02T08:31:28Z</dcterms:modified>
  <dc:title>附件1：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