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焦作市城乡一体化示范区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工委联络办公室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2018年度部门预算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adjustRightInd w:val="0"/>
        <w:snapToGrid w:val="0"/>
        <w:spacing w:line="360" w:lineRule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left="2174" w:leftChars="304" w:right="521" w:hanging="1560" w:hangingChars="5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第二部门 示范区工委联络办公室2018年部门预算情况说明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示范区工委联络办公室2018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示范区工委联络办公室部门概况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机构设置情况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隶属于焦作市城乡一体化示范区组织人力资源社会保障局领导，机构规格相当于副科级，核定编制人员5名，实有工作人员5名，其中副科级人员1名，经费供给方式为示范区财政全额拨付。</w:t>
      </w:r>
    </w:p>
    <w:p>
      <w:pPr>
        <w:spacing w:line="55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部门职责</w:t>
      </w:r>
    </w:p>
    <w:p>
      <w:pPr>
        <w:spacing w:line="56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负责组织推选和联络管理人大代表、政协委员工作，联络民主党派工作，组织协调全区工会、共青团、妇联和工商联、侨联等群团工作。</w:t>
      </w:r>
    </w:p>
    <w:p>
      <w:pPr>
        <w:kinsoku w:val="0"/>
        <w:overflowPunct w:val="0"/>
        <w:adjustRightInd w:val="0"/>
        <w:snapToGrid w:val="0"/>
        <w:spacing w:line="360" w:lineRule="auto"/>
        <w:ind w:right="3569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工委联络办公室单位构成</w:t>
      </w:r>
    </w:p>
    <w:p>
      <w:pPr>
        <w:spacing w:line="556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隶属于焦作市城乡一体化示范区组织人力资源社会保障局领导。</w:t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示范区工委联络办公室2018年度部门预算情况说明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Arial" w:hAnsi="Arial" w:eastAsia="仿宋_GB2312" w:cs="Arial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工委联络办2018年收入</w:t>
      </w:r>
      <w:r>
        <w:rPr>
          <w:rFonts w:hint="eastAsia" w:ascii="Arial" w:hAnsi="Arial" w:eastAsia="仿宋_GB2312" w:cs="Arial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万元，与2017年相比，收、支总计各增加</w:t>
      </w:r>
      <w:r>
        <w:rPr>
          <w:rFonts w:hint="eastAsia" w:ascii="Arial" w:hAnsi="Arial" w:eastAsia="仿宋_GB2312" w:cs="Arial"/>
          <w:sz w:val="32"/>
          <w:szCs w:val="32"/>
        </w:rPr>
        <w:t>10.52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%。主要原因：人员经费增加和部分项目预算增加</w:t>
      </w:r>
      <w:r>
        <w:rPr>
          <w:rFonts w:hint="eastAsia" w:ascii="Arial" w:hAnsi="Arial" w:eastAsia="仿宋_GB2312" w:cs="Arial"/>
          <w:sz w:val="32"/>
          <w:szCs w:val="32"/>
        </w:rPr>
        <w:t xml:space="preserve">。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工委联络办公室2018年收入合计</w:t>
      </w:r>
      <w:r>
        <w:rPr>
          <w:rFonts w:hint="eastAsia" w:ascii="Arial" w:hAnsi="Arial" w:eastAsia="仿宋_GB2312" w:cs="Arial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万元，其中：一般公共预算收入</w:t>
      </w:r>
      <w:r>
        <w:rPr>
          <w:rFonts w:hint="eastAsia" w:ascii="Arial" w:hAnsi="Arial" w:eastAsia="仿宋_GB2312" w:cs="Arial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万元; 政府性基金预算收入</w:t>
      </w:r>
      <w:r>
        <w:rPr>
          <w:rFonts w:hint="eastAsia" w:ascii="Arial" w:hAnsi="Arial" w:eastAsia="仿宋_GB2312" w:cs="Arial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万元；国有资本经营预算收入</w:t>
      </w:r>
      <w:r>
        <w:rPr>
          <w:rFonts w:hint="eastAsia" w:ascii="Arial" w:hAnsi="Arial" w:eastAsia="仿宋_GB2312" w:cs="Arial"/>
          <w:sz w:val="32"/>
          <w:szCs w:val="32"/>
        </w:rPr>
        <w:t>0万元；其他收入0万元。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工委联络办公室2018年支出合计</w:t>
      </w:r>
      <w:r>
        <w:rPr>
          <w:rFonts w:hint="eastAsia" w:ascii="Arial" w:hAnsi="Arial" w:eastAsia="仿宋_GB2312" w:cs="Arial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</w:rPr>
        <w:t>50.14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</w:rPr>
        <w:t>89%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工委联络办2018年一般公共预算收支预算</w:t>
      </w:r>
      <w:r>
        <w:rPr>
          <w:rFonts w:hint="eastAsia" w:ascii="Arial" w:hAnsi="Arial" w:eastAsia="仿宋_GB2312" w:cs="Arial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万元。政府性基金收支预算</w:t>
      </w:r>
      <w:r>
        <w:rPr>
          <w:rFonts w:hint="eastAsia" w:ascii="Arial" w:hAnsi="Arial" w:eastAsia="仿宋_GB2312" w:cs="Arial"/>
          <w:sz w:val="32"/>
          <w:szCs w:val="32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 2017年相比，一般公共预算收支预算增加</w:t>
      </w:r>
      <w:r>
        <w:rPr>
          <w:rFonts w:hint="eastAsia" w:ascii="Arial" w:hAnsi="Arial" w:eastAsia="仿宋_GB2312" w:cs="Arial"/>
          <w:sz w:val="32"/>
          <w:szCs w:val="32"/>
        </w:rPr>
        <w:t>10.52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%，主要原因：</w:t>
      </w:r>
      <w:r>
        <w:rPr>
          <w:rFonts w:hint="eastAsia" w:ascii="Arial" w:hAnsi="Arial" w:eastAsia="仿宋_GB2312" w:cs="Arial"/>
          <w:sz w:val="32"/>
          <w:szCs w:val="32"/>
        </w:rPr>
        <w:t>人员经费增加和部分项目预算增加。无政府性基金预算。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工委联络办公室2018年一般公共预算支出年初预算为</w:t>
      </w:r>
      <w:r>
        <w:rPr>
          <w:rFonts w:hint="eastAsia" w:ascii="Arial" w:hAnsi="Arial" w:eastAsia="仿宋_GB2312" w:cs="Arial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</w:rPr>
        <w:t>50.14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万元，占89%；对外联络事务支出</w:t>
      </w:r>
      <w:r>
        <w:rPr>
          <w:rFonts w:hint="eastAsia" w:ascii="Arial" w:hAnsi="Arial" w:eastAsia="仿宋_GB2312" w:cs="Arial"/>
          <w:kern w:val="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万元，占11%。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工委联络办公室2018年一般公共预算基本支出50.14万元，其中：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48.34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基本工资、津贴补贴、奖金、绩效工资、机关事业单位基本养老保险缴费、职业年金缴费、城镇职工基本医疗保险缴费、工会经费、福利费、其他社会保障缴费、住房公积金；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公用经费1.8万元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主要包括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：办公费、印刷费、水费、电费、邮电费、差旅费、公务接待费、其他商品和服务支出。</w:t>
      </w:r>
      <w:bookmarkStart w:id="0" w:name="_GoBack"/>
      <w:bookmarkEnd w:id="0"/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七、政府性基金预算支出预算情况说明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我单位2018年没有使用政府性基金预算拨款安排的支出。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我单位2018年没有使用政国有资本经营预算拨款安排的支出。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九、“三公”经费支出预算情况说明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工委联络办公室2018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0.8万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 比 2017年预算数减少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万元，下降70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</w:rPr>
        <w:t>0万元，与2017年持平。</w:t>
      </w:r>
    </w:p>
    <w:p>
      <w:pPr>
        <w:spacing w:line="560" w:lineRule="exact"/>
        <w:ind w:firstLine="62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（一）公务接待费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按规定开支的各类公务接待及加班餐费，比2017年预算数减少1.76万元，下降95%，主要原因：</w:t>
      </w:r>
      <w:r>
        <w:rPr>
          <w:rFonts w:hint="eastAsia" w:ascii="仿宋_GB2312" w:hAnsi="仿宋_GB2312" w:eastAsia="仿宋_GB2312" w:cs="仿宋_GB2312"/>
          <w:color w:val="3A3535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ind w:firstLine="620" w:firstLineChars="200"/>
        <w:outlineLvl w:val="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（二）公务用车购置及运行费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0.7万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元。公务用车运行维护费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0.7万元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，主要用于单位按规定保留的公务用车燃料费、维修费等支出,比2017年减少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0.09万元，较上年下降11%，主要原因：</w:t>
      </w:r>
      <w:r>
        <w:rPr>
          <w:rFonts w:hint="eastAsia" w:ascii="仿宋_GB2312" w:hAnsi="仿宋_GB2312" w:eastAsia="仿宋_GB2312" w:cs="仿宋_GB2312"/>
          <w:color w:val="3A3535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outlineLvl w:val="0"/>
        <w:rPr>
          <w:rFonts w:ascii="仿宋_GB2312" w:hAnsi="仿宋_GB2312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工委联络办公室2018年机关运行经费支出预算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万元，主要保障机关机构正常运转及正常履职需要的办公费、水电费、物业费、维修费、差旅费等支出，比2017年减少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2.58万元，下降59%，主要原因：深入贯彻中央“八项规定”精神等工作要求，大力压缩经费支出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2017年,我部门对1个项目进行了预算绩效评价，涉及资金3.5万元。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2018年，我部门纳入预算绩效管理的支出总额为</w:t>
      </w:r>
      <w:r>
        <w:rPr>
          <w:rFonts w:hint="eastAsia" w:ascii="宋体" w:hAnsi="宋体" w:cs="宋体"/>
          <w:kern w:val="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56.14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万元。其中人员经费支出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48.34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万元，公用经费支出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万元，支出项目共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万元，其中预算支出100万元及100万元以上项目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万元。 </w:t>
      </w:r>
    </w:p>
    <w:p>
      <w:pPr>
        <w:ind w:left="404" w:left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2017年期末，工委联络办公室固定资产总额0万元，其中，房屋建筑物0万元，车辆0万元。共有车辆0辆，其中：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2018年我单位按照市财政预算公开要求，将所属预算单位全部纳入预算公开范围。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附件：工委联络办公室2018年度部门预算表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C3D518"/>
    <w:multiLevelType w:val="singleLevel"/>
    <w:tmpl w:val="86C3D518"/>
    <w:lvl w:ilvl="0" w:tentative="0">
      <w:start w:val="10"/>
      <w:numFmt w:val="chineseCounting"/>
      <w:suff w:val="nothing"/>
      <w:lvlText w:val="%1、"/>
      <w:lvlJc w:val="left"/>
      <w:pPr>
        <w:ind w:left="777" w:firstLine="0"/>
      </w:pPr>
      <w:rPr>
        <w:rFonts w:hint="eastAsia"/>
      </w:rPr>
    </w:lvl>
  </w:abstractNum>
  <w:abstractNum w:abstractNumId="1">
    <w:nsid w:val="1E4EE3C2"/>
    <w:multiLevelType w:val="singleLevel"/>
    <w:tmpl w:val="1E4EE3C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420"/>
  <w:drawingGridHorizontalSpacing w:val="10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3C94"/>
    <w:rsid w:val="0010213B"/>
    <w:rsid w:val="009E3C94"/>
    <w:rsid w:val="00AE4F57"/>
    <w:rsid w:val="2B86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409</Words>
  <Characters>2337</Characters>
  <Lines>19</Lines>
  <Paragraphs>5</Paragraphs>
  <TotalTime>0</TotalTime>
  <ScaleCrop>false</ScaleCrop>
  <LinksUpToDate>false</LinksUpToDate>
  <CharactersWithSpaces>2741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2019-02-26T09:11:39Z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