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jc w:val="center"/>
        <w:rPr>
          <w:rFonts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焦作市城乡一体化示范区城市管理</w:t>
      </w:r>
    </w:p>
    <w:p>
      <w:pPr>
        <w:jc w:val="center"/>
        <w:rPr>
          <w:rFonts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部门2018年度部门预算</w:t>
      </w:r>
    </w:p>
    <w:p>
      <w:pPr>
        <w:jc w:val="center"/>
        <w:rPr>
          <w:rFonts w:ascii="黑体" w:hAnsi="黑体" w:eastAsia="黑体" w:cs="黑体"/>
          <w:sz w:val="52"/>
          <w:szCs w:val="52"/>
        </w:rPr>
      </w:pPr>
    </w:p>
    <w:p>
      <w:pPr>
        <w:jc w:val="center"/>
        <w:rPr>
          <w:rFonts w:ascii="黑体" w:hAnsi="黑体" w:eastAsia="黑体" w:cs="黑体"/>
          <w:sz w:val="52"/>
          <w:szCs w:val="52"/>
        </w:rPr>
      </w:pPr>
    </w:p>
    <w:p>
      <w:pPr>
        <w:jc w:val="center"/>
        <w:rPr>
          <w:rFonts w:ascii="黑体" w:hAnsi="黑体" w:eastAsia="黑体" w:cs="黑体"/>
          <w:sz w:val="52"/>
          <w:szCs w:val="52"/>
        </w:rPr>
      </w:pPr>
    </w:p>
    <w:p>
      <w:pPr>
        <w:jc w:val="center"/>
        <w:rPr>
          <w:rFonts w:ascii="黑体" w:hAnsi="黑体" w:eastAsia="黑体" w:cs="黑体"/>
          <w:sz w:val="52"/>
          <w:szCs w:val="52"/>
        </w:rPr>
      </w:pPr>
    </w:p>
    <w:p>
      <w:pPr>
        <w:jc w:val="center"/>
        <w:rPr>
          <w:rFonts w:ascii="黑体" w:hAnsi="黑体" w:eastAsia="黑体" w:cs="黑体"/>
          <w:sz w:val="52"/>
          <w:szCs w:val="52"/>
        </w:rPr>
      </w:pPr>
    </w:p>
    <w:p>
      <w:pPr>
        <w:adjustRightInd w:val="0"/>
        <w:snapToGrid w:val="0"/>
        <w:spacing w:line="36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adjustRightInd w:val="0"/>
        <w:snapToGrid w:val="0"/>
        <w:spacing w:line="360" w:lineRule="auto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101" w:right="3569" w:firstLine="624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ascii="仿宋_GB2312" w:hAnsi="仿宋_GB2312" w:eastAsia="仿宋_GB2312" w:cs="仿宋_GB2312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44"/>
          <w:szCs w:val="44"/>
        </w:rPr>
        <w:t>目</w:t>
      </w:r>
      <w:r>
        <w:rPr>
          <w:rFonts w:hint="eastAsia" w:ascii="仿宋_GB2312" w:hAnsi="仿宋_GB2312" w:eastAsia="仿宋_GB2312" w:cs="仿宋_GB2312"/>
          <w:spacing w:val="2"/>
          <w:sz w:val="44"/>
          <w:szCs w:val="44"/>
        </w:rPr>
        <w:t xml:space="preserve"> </w:t>
      </w:r>
      <w:r>
        <w:rPr>
          <w:rFonts w:hint="eastAsia" w:ascii="仿宋_GB2312" w:hAnsi="仿宋_GB2312" w:eastAsia="仿宋_GB2312" w:cs="仿宋_GB2312"/>
          <w:sz w:val="44"/>
          <w:szCs w:val="44"/>
        </w:rPr>
        <w:t>录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rPr>
          <w:rFonts w:ascii="仿宋_GB2312" w:hAnsi="仿宋_GB2312" w:eastAsia="仿宋_GB2312" w:cs="仿宋_GB2312"/>
          <w:w w:val="99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  概况</w:t>
      </w:r>
      <w:r>
        <w:rPr>
          <w:rFonts w:hint="eastAsia" w:ascii="仿宋_GB2312" w:hAnsi="仿宋_GB2312" w:eastAsia="仿宋_GB2312" w:cs="仿宋_GB2312"/>
          <w:w w:val="99"/>
          <w:sz w:val="32"/>
          <w:szCs w:val="32"/>
        </w:rPr>
        <w:t xml:space="preserve"> 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一、主要职能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二、部门预算单位构成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第二部分 城市管理局2018年部门预算情况说明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第三部分 名词解释</w:t>
      </w:r>
    </w:p>
    <w:p>
      <w:pPr>
        <w:kinsoku w:val="0"/>
        <w:overflowPunct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pacing w:val="-3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城市管理局2018</w:t>
      </w:r>
      <w:r>
        <w:rPr>
          <w:rFonts w:hint="eastAsia" w:ascii="仿宋_GB2312" w:hAnsi="仿宋_GB2312" w:eastAsia="仿宋_GB2312" w:cs="仿宋_GB2312"/>
          <w:spacing w:val="-11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一、部门收支总体情况表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二、部门收入总体情况表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三、部门支出总体情况表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六、一般公共预算基本支出情况表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七、一般公共预算“三公”经费支出情况表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八、政府性基金预算支出情况表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九、国有资本经营预算收支情况表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十、机关运行经费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十一、预算项目支出绩效目标表</w:t>
      </w:r>
    </w:p>
    <w:p>
      <w:pPr>
        <w:adjustRightInd w:val="0"/>
        <w:snapToGrid w:val="0"/>
        <w:spacing w:line="360" w:lineRule="auto"/>
        <w:ind w:firstLine="3744" w:firstLineChars="1200"/>
        <w:rPr>
          <w:rFonts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</w:t>
      </w:r>
    </w:p>
    <w:p>
      <w:pPr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城市管理局概况</w:t>
      </w:r>
    </w:p>
    <w:p>
      <w:pPr>
        <w:adjustRightInd w:val="0"/>
        <w:snapToGrid w:val="0"/>
        <w:spacing w:line="360" w:lineRule="auto"/>
        <w:ind w:firstLine="624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主要职能</w:t>
      </w:r>
    </w:p>
    <w:p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360" w:lineRule="auto"/>
        <w:ind w:firstLine="624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机构设置情况</w:t>
      </w: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焦作市城乡一体化示范区城市管理局为正科级事业单位，</w:t>
      </w:r>
      <w:r>
        <w:rPr>
          <w:rFonts w:hint="eastAsia" w:ascii="仿宋_GB2312" w:hAnsi="仿宋_GB2312" w:eastAsia="仿宋_GB2312" w:cs="仿宋_GB2312"/>
          <w:sz w:val="32"/>
          <w:szCs w:val="32"/>
        </w:rPr>
        <w:t>内设市政设施管理科、环境卫生管理科、城管监察科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经费供给方式为示范区财政全额拨付。</w:t>
      </w:r>
    </w:p>
    <w:p>
      <w:pPr>
        <w:spacing w:line="360" w:lineRule="auto"/>
        <w:ind w:firstLine="624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（二）部门职责</w:t>
      </w:r>
    </w:p>
    <w:p>
      <w:pPr>
        <w:spacing w:line="360" w:lineRule="auto"/>
        <w:ind w:firstLine="624" w:firstLineChars="200"/>
        <w:jc w:val="lef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1、贯彻执行国家、省、市有关城市管理方面的法律、法规和方针、政策；研究拟定全区城市管理相关政策和年度计划、规划；参与制定涉及城市管理方面的总体规划，并组织实施。</w:t>
      </w:r>
    </w:p>
    <w:p>
      <w:pPr>
        <w:spacing w:line="360" w:lineRule="auto"/>
        <w:jc w:val="lef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2、协调、监督、检查城市综合管理和城市环境综合整治工作，行使城市管理方面法律、法规、规章规定的行政处罚权。</w:t>
      </w:r>
    </w:p>
    <w:p>
      <w:pPr>
        <w:spacing w:line="360" w:lineRule="auto"/>
        <w:jc w:val="lef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3、协同有关部门查处城市管理中的违法、违纪案件。</w:t>
      </w:r>
    </w:p>
    <w:p>
      <w:pPr>
        <w:spacing w:line="360" w:lineRule="auto"/>
        <w:jc w:val="lef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4、依据城市管理方面法律、法规和规章，协助有关部门维护区内交通和市场秩序，对辖区违章占道经营、户外经营及流动经营等违法违章行为进行治理和处罚，督促落实门前三包。</w:t>
      </w:r>
    </w:p>
    <w:p>
      <w:pPr>
        <w:spacing w:line="360" w:lineRule="auto"/>
        <w:jc w:val="lef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5、依据城市建设和市容市貌管理方面的法律、法规和规章，对道路与广场容貌，临街建筑物立面容貌、户外广告、标志标牌，门面装饰、大型室外宣传活动和便民设摊、设点、设亭等实施许可审批，并负责规范管理。</w:t>
      </w:r>
    </w:p>
    <w:p>
      <w:pPr>
        <w:spacing w:line="360" w:lineRule="auto"/>
        <w:jc w:val="lef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6、组织对城市园林绿化系统进行维护和管理；组织对城市道路、桥梁设施以及管网、路灯、夜景照明设施等进行维护管理；负责城市环境卫生管理工作，组织对城市环境卫生设施进行建设、运营、维护与监督管理。</w:t>
      </w:r>
    </w:p>
    <w:p>
      <w:pPr>
        <w:spacing w:line="360" w:lineRule="auto"/>
        <w:jc w:val="lef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7、负责全区垃圾处理费的征收管理、检查、督导、协调工作，指导办事处、社区、村等垃圾处理费征收工作；审核、汇总并上报我区办事处、社区、村免征垃圾处理费单位或个人名单；统计与汇总上报全区垃圾处理费征收情况和专用票据使用情况。</w:t>
      </w:r>
    </w:p>
    <w:p>
      <w:pPr>
        <w:spacing w:line="360" w:lineRule="auto"/>
        <w:ind w:firstLine="645"/>
        <w:jc w:val="lef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8、完成管委会交办的其他工作。</w:t>
      </w:r>
    </w:p>
    <w:p>
      <w:pPr>
        <w:numPr>
          <w:numId w:val="0"/>
        </w:numPr>
        <w:kinsoku w:val="0"/>
        <w:overflowPunct w:val="0"/>
        <w:adjustRightInd w:val="0"/>
        <w:snapToGrid w:val="0"/>
        <w:spacing w:line="360" w:lineRule="auto"/>
        <w:ind w:right="3569" w:firstLine="312" w:firstLineChars="100"/>
        <w:jc w:val="left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城市管理局</w:t>
      </w:r>
      <w:r>
        <w:rPr>
          <w:rFonts w:hint="eastAsia" w:ascii="仿宋" w:hAnsi="仿宋" w:eastAsia="仿宋" w:cs="仿宋"/>
          <w:sz w:val="32"/>
          <w:szCs w:val="32"/>
        </w:rPr>
        <w:t>预算单位构成</w:t>
      </w:r>
    </w:p>
    <w:p>
      <w:pPr>
        <w:spacing w:line="360" w:lineRule="auto"/>
        <w:ind w:firstLine="624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焦作市城乡一体化示范区城市管理局为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正科级事业单位，为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独立预算单位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经费供给方式为示范区财政全额拨付。</w:t>
      </w: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第二部分</w:t>
      </w:r>
    </w:p>
    <w:p>
      <w:pPr>
        <w:widowControl/>
        <w:shd w:val="clear" w:color="auto" w:fill="FFFFFF"/>
        <w:spacing w:line="450" w:lineRule="atLeast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城市管理局2018年度部门预算情况说明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Arial" w:hAnsi="Arial" w:eastAsia="仿宋_GB2312" w:cs="Arial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城市管理局2018年收入</w:t>
      </w:r>
      <w:r>
        <w:rPr>
          <w:rFonts w:hint="eastAsia" w:ascii="Arial" w:hAnsi="Arial" w:eastAsia="仿宋_GB2312" w:cs="Arial"/>
          <w:sz w:val="32"/>
          <w:szCs w:val="32"/>
        </w:rPr>
        <w:t>5759.37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万元，支出总计</w:t>
      </w:r>
      <w:r>
        <w:rPr>
          <w:rFonts w:hint="eastAsia" w:ascii="Arial" w:hAnsi="Arial" w:eastAsia="仿宋_GB2312" w:cs="Arial"/>
          <w:sz w:val="32"/>
          <w:szCs w:val="32"/>
        </w:rPr>
        <w:t>5759.37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万元，与2017年相比，收、支总计各增加</w:t>
      </w:r>
      <w:r>
        <w:rPr>
          <w:rFonts w:hint="eastAsia" w:ascii="Arial" w:hAnsi="Arial" w:eastAsia="仿宋_GB2312" w:cs="Arial"/>
          <w:sz w:val="32"/>
          <w:szCs w:val="32"/>
        </w:rPr>
        <w:t>1284.69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Arial" w:hAnsi="Arial" w:eastAsia="仿宋_GB2312" w:cs="Arial"/>
          <w:sz w:val="32"/>
          <w:szCs w:val="32"/>
        </w:rPr>
        <w:t>28.71</w:t>
      </w:r>
      <w:r>
        <w:rPr>
          <w:rFonts w:hint="eastAsia" w:ascii="仿宋_GB2312" w:hAnsi="仿宋_GB2312" w:eastAsia="仿宋_GB2312" w:cs="仿宋_GB2312"/>
          <w:sz w:val="32"/>
          <w:szCs w:val="32"/>
        </w:rPr>
        <w:t>%。主要原因：清扫保洁、绿化养护面积增加，加大环保工作开展力度及其它</w:t>
      </w:r>
      <w:r>
        <w:rPr>
          <w:rFonts w:hint="eastAsia" w:ascii="Arial" w:hAnsi="Arial" w:eastAsia="仿宋_GB2312" w:cs="Arial"/>
          <w:sz w:val="32"/>
          <w:szCs w:val="32"/>
        </w:rPr>
        <w:t xml:space="preserve">业务增加。  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二、收入预算总体情况说明</w:t>
      </w:r>
    </w:p>
    <w:p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城市管理局2018年收入合计</w:t>
      </w:r>
      <w:r>
        <w:rPr>
          <w:rFonts w:hint="eastAsia" w:ascii="Arial" w:hAnsi="Arial" w:eastAsia="仿宋_GB2312" w:cs="Arial"/>
          <w:sz w:val="32"/>
          <w:szCs w:val="32"/>
        </w:rPr>
        <w:t>5759.37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万元，其中：一般公共预算收入</w:t>
      </w:r>
      <w:r>
        <w:rPr>
          <w:rFonts w:hint="eastAsia" w:ascii="Arial" w:hAnsi="Arial" w:eastAsia="仿宋_GB2312" w:cs="Arial"/>
          <w:sz w:val="32"/>
          <w:szCs w:val="32"/>
        </w:rPr>
        <w:t>5759.37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万元; 政府性基金预算收入</w:t>
      </w:r>
      <w:r>
        <w:rPr>
          <w:rFonts w:hint="eastAsia" w:ascii="Arial" w:hAnsi="Arial" w:eastAsia="仿宋_GB2312" w:cs="Arial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万元；国有资本经营预算收入</w:t>
      </w:r>
      <w:r>
        <w:rPr>
          <w:rFonts w:hint="eastAsia" w:ascii="Arial" w:hAnsi="Arial" w:eastAsia="仿宋_GB2312" w:cs="Arial"/>
          <w:sz w:val="32"/>
          <w:szCs w:val="32"/>
        </w:rPr>
        <w:t>0万元；其他收入0万元。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 xml:space="preserve"> </w:t>
      </w:r>
    </w:p>
    <w:p>
      <w:pPr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三、支出预算总体情况说明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城市管理局2018年支出合计</w:t>
      </w:r>
      <w:r>
        <w:rPr>
          <w:rFonts w:hint="eastAsia" w:ascii="Arial" w:hAnsi="Arial" w:eastAsia="仿宋_GB2312" w:cs="Arial"/>
          <w:sz w:val="32"/>
          <w:szCs w:val="32"/>
        </w:rPr>
        <w:t>5759.37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万元，其中：基本支出</w:t>
      </w:r>
      <w:r>
        <w:rPr>
          <w:rFonts w:hint="eastAsia" w:ascii="Arial" w:hAnsi="Arial" w:eastAsia="仿宋_GB2312" w:cs="Arial"/>
          <w:sz w:val="32"/>
          <w:szCs w:val="32"/>
        </w:rPr>
        <w:t>168.37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Arial" w:hAnsi="Arial" w:eastAsia="仿宋_GB2312" w:cs="Arial"/>
          <w:sz w:val="32"/>
          <w:szCs w:val="32"/>
        </w:rPr>
        <w:t>2.9%</w:t>
      </w:r>
      <w:r>
        <w:rPr>
          <w:rFonts w:hint="eastAsia" w:ascii="仿宋_GB2312" w:hAnsi="仿宋_GB2312" w:eastAsia="仿宋_GB2312" w:cs="仿宋_GB2312"/>
          <w:sz w:val="32"/>
          <w:szCs w:val="32"/>
        </w:rPr>
        <w:t>；项目支出</w:t>
      </w:r>
      <w:r>
        <w:rPr>
          <w:rFonts w:hint="eastAsia" w:ascii="Arial" w:hAnsi="Arial" w:eastAsia="仿宋_GB2312" w:cs="Arial"/>
          <w:sz w:val="32"/>
          <w:szCs w:val="32"/>
        </w:rPr>
        <w:t>5591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Arial" w:hAnsi="Arial" w:eastAsia="仿宋_GB2312" w:cs="Arial"/>
          <w:sz w:val="32"/>
          <w:szCs w:val="32"/>
        </w:rPr>
        <w:t>97.1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 xml:space="preserve"> </w:t>
      </w:r>
    </w:p>
    <w:p>
      <w:pPr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四、财政拨款收入支出预算总体情况说明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城市管理局2018年一般公共预算收支预算</w:t>
      </w:r>
      <w:r>
        <w:rPr>
          <w:rFonts w:hint="eastAsia" w:ascii="Arial" w:hAnsi="Arial" w:eastAsia="仿宋_GB2312" w:cs="Arial"/>
          <w:sz w:val="32"/>
          <w:szCs w:val="32"/>
        </w:rPr>
        <w:t>5759.37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万元。政府性基金收支预算</w:t>
      </w:r>
      <w:r>
        <w:rPr>
          <w:rFonts w:hint="eastAsia" w:ascii="Arial" w:hAnsi="Arial" w:eastAsia="仿宋_GB2312" w:cs="Arial"/>
          <w:sz w:val="32"/>
          <w:szCs w:val="32"/>
        </w:rPr>
        <w:t>0万元，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与 2017年相比，一般公共预算收支预算增加</w:t>
      </w:r>
      <w:r>
        <w:rPr>
          <w:rFonts w:hint="eastAsia" w:ascii="Arial" w:hAnsi="Arial" w:eastAsia="仿宋_GB2312" w:cs="Arial"/>
          <w:sz w:val="32"/>
          <w:szCs w:val="32"/>
        </w:rPr>
        <w:t>1284.69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Arial" w:hAnsi="Arial" w:eastAsia="仿宋_GB2312" w:cs="Arial"/>
          <w:sz w:val="32"/>
          <w:szCs w:val="32"/>
        </w:rPr>
        <w:t>28.71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%，主要原因：清扫保洁、绿化养护面积增加，加大环保工作开展力度及其它</w:t>
      </w:r>
      <w:r>
        <w:rPr>
          <w:rFonts w:hint="eastAsia" w:ascii="Arial" w:hAnsi="Arial" w:eastAsia="仿宋_GB2312" w:cs="Arial"/>
          <w:sz w:val="32"/>
          <w:szCs w:val="32"/>
        </w:rPr>
        <w:t>业务增加；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政府性基金收支增加</w:t>
      </w:r>
      <w:r>
        <w:rPr>
          <w:rFonts w:hint="eastAsia" w:ascii="Arial" w:hAnsi="Arial" w:eastAsia="仿宋_GB2312" w:cs="Arial"/>
          <w:sz w:val="32"/>
          <w:szCs w:val="32"/>
        </w:rPr>
        <w:t>0万元，增长0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Arial" w:hAnsi="Arial" w:eastAsia="仿宋_GB2312" w:cs="Arial"/>
          <w:sz w:val="32"/>
          <w:szCs w:val="32"/>
        </w:rPr>
        <w:t>0。</w:t>
      </w:r>
    </w:p>
    <w:p>
      <w:pPr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五、一般公共预算支出预算情况说明</w:t>
      </w:r>
    </w:p>
    <w:p>
      <w:pPr>
        <w:widowControl/>
        <w:ind w:firstLine="622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城市管理局2018年一般公共预算支出年初预算为</w:t>
      </w:r>
      <w:r>
        <w:rPr>
          <w:rFonts w:hint="eastAsia" w:ascii="Arial" w:hAnsi="Arial" w:eastAsia="仿宋_GB2312" w:cs="Arial"/>
          <w:sz w:val="32"/>
          <w:szCs w:val="32"/>
        </w:rPr>
        <w:t>5759.37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万元。主要用于以下方面：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一般公共服务支出</w:t>
      </w:r>
      <w:r>
        <w:rPr>
          <w:rFonts w:hint="eastAsia" w:ascii="Arial" w:hAnsi="Arial" w:eastAsia="仿宋_GB2312" w:cs="Arial"/>
          <w:sz w:val="32"/>
          <w:szCs w:val="32"/>
        </w:rPr>
        <w:t>5759.37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万元，占100%。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 xml:space="preserve"> </w:t>
      </w:r>
    </w:p>
    <w:p>
      <w:pPr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六、一般公共预算基本支出预算情况说明</w:t>
      </w:r>
    </w:p>
    <w:p>
      <w:pPr>
        <w:widowControl/>
        <w:ind w:firstLine="622"/>
        <w:jc w:val="left"/>
        <w:rPr>
          <w:rFonts w:ascii="仿宋_GB2312" w:hAnsi="仿宋_GB2312" w:eastAsia="仿宋_GB2312" w:cs="仿宋_GB2312"/>
          <w:color w:val="FF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城市管理局2018年一般公共预算基本支出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168.37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/>
        </w:rPr>
        <w:t>161.53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基本工资、津贴补贴、奖金、绩效工资、机关事业单位基本养老保险缴费、职业年金缴费、医疗保险缴费、其他社会保障缴费、住房公积金、其他工资福利支出、退休费、其他对个人和家庭的补助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工会经费、福利费支出；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6.84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，主要包括：办公费、印刷费、水费、电费、邮电费、培训费、差旅费、公务接待费、其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它商品和服务支出、公务用车运行维护费。</w:t>
      </w:r>
    </w:p>
    <w:p>
      <w:pPr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七、政府性基金预算支出预算情况说明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我单位2018年没有使用政府性基金预算拨款安排的支出。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国有资本经营预算支出预算情况说明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我单位2018年没有使用政国有资本经营预算拨款安排的支出。</w:t>
      </w:r>
    </w:p>
    <w:p>
      <w:pPr>
        <w:spacing w:line="360" w:lineRule="auto"/>
        <w:ind w:firstLine="624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九、“三公”经费支出预算情况说明</w:t>
      </w:r>
    </w:p>
    <w:p>
      <w:pPr>
        <w:spacing w:line="360" w:lineRule="auto"/>
        <w:ind w:firstLine="624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城市管理局2018 年“三公”经费预算为2.25万元。 比 2017年预算数减少0.44万元，下降16.36%。</w:t>
      </w:r>
    </w:p>
    <w:p>
      <w:pPr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  <w:shd w:val="clear" w:color="FFFFFF" w:fill="D9D9D9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具体支出情况如下：</w:t>
      </w:r>
    </w:p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公务用车购置及运行费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1.8万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元。其中公务车辆购置费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万元。公务用车运行维护费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1.8万元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，主要用于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公务车辆维修及燃油</w:t>
      </w:r>
      <w:r>
        <w:rPr>
          <w:rFonts w:hint="eastAsia" w:ascii="仿宋_GB2312" w:hAnsi="仿宋_GB2312" w:eastAsia="仿宋_GB2312" w:cs="仿宋_GB2312"/>
          <w:sz w:val="32"/>
          <w:szCs w:val="32"/>
        </w:rPr>
        <w:t>,比2017年减少0.36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万元，较上年下降16.67%，主要原因：加强车辆使用管理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，减少开支。</w:t>
      </w:r>
    </w:p>
    <w:p>
      <w:pPr>
        <w:spacing w:line="360" w:lineRule="auto"/>
        <w:ind w:firstLine="62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（三）公务接待费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0.45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万元，主要用于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城管执法紧急任务加班就餐，比2017年预算数减少0.08万元，下降15.1%，主要原因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严格遵守中央八项规定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，合理减少支出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仿宋_GB2312" w:eastAsia="仿宋_GB2312" w:cs="仿宋_GB2312"/>
          <w:spacing w:val="-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</w:rPr>
        <w:t>十、其他重要事项的情况说明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（一）机关运行经费支出情况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城市管理局2018年机关运行经费支出预算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6.84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万元，主要保障机关机构正常运转及正常履职需要的办公费、水电费、物业费、维修费、差旅费等支出，比2017年减少0.56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万元，下降7.56%，主要原因：严格遵守中央八项规定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本年实际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支出情况进行预算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，合理减少支出。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（二）政府采购支出情况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2018年政府采购预算安排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2298.5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政府采购货物预算644.7万元、政府采购工程预算230万元、政府采购服务预算1423.8万元。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（三）关于预算绩效管理工作开展情况说明</w:t>
      </w:r>
    </w:p>
    <w:p>
      <w:pPr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2017年,我部门对3个项目进行了预算绩效评价，涉及资金 2648.53万元。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2018年，我部门纳入预算绩效管理的支出总额为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2968.37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万元，其中人员经费支出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161.53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万元，公用经费支出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6.84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万元，支出项目共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个，支出总额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2800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万元，其中预算支出100万元及100万元以上项目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个，支出总额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2416.35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万元。 </w:t>
      </w:r>
    </w:p>
    <w:p>
      <w:pPr>
        <w:spacing w:line="360" w:lineRule="auto"/>
        <w:ind w:left="404" w:left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（四）国有资产占用情况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2017年期末，城市管理局固定资产总额1568.72万元，其中，房屋建筑物0万元，车辆1219.21万元。共有车辆45辆，其中：一般公务用车1辆，执法执勤车0辆，其它车辆44辆；</w:t>
      </w:r>
      <w:r>
        <w:rPr>
          <w:rFonts w:hint="eastAsia" w:ascii="仿宋_GB2312" w:hAnsi="仿宋_GB2312" w:eastAsia="仿宋_GB2312" w:cs="仿宋_GB2312"/>
          <w:sz w:val="32"/>
          <w:szCs w:val="32"/>
        </w:rPr>
        <w:t>单价50万元以上通用设备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台（套），单位价值100万元以上专用设备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台（套）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</w:p>
    <w:p>
      <w:pPr>
        <w:widowControl/>
        <w:spacing w:line="360" w:lineRule="auto"/>
        <w:ind w:firstLine="624" w:firstLineChars="200"/>
        <w:jc w:val="left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（五）关于预算部门构成说明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2018年我单位按照市财政预算公开要求，将所属预算单位全部纳入预算公开范围。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第三部分 名词解释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一、财政拨款收入：是指市级财政当年拨付的资金。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“三公”经费：是指纳入市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七、机关运行经费：是指为保障行政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机构正常运转及正常履职需要的办公费、水电费、日常维修、物业费、维修费、差旅费、</w:t>
      </w:r>
      <w:r>
        <w:rPr>
          <w:rFonts w:hint="eastAsia" w:ascii="仿宋_GB2312" w:hAnsi="宋体" w:eastAsia="仿宋_GB2312" w:cs="Courier New"/>
          <w:sz w:val="32"/>
          <w:szCs w:val="32"/>
        </w:rPr>
        <w:t>公务用车运行维护费以及其他费用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附件：焦作市示范区城市管理局2018年度部门预算表</w:t>
      </w:r>
    </w:p>
    <w:p>
      <w:pPr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2018年10月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</w:p>
    <w:sectPr>
      <w:pgSz w:w="11906" w:h="16838"/>
      <w:pgMar w:top="2154" w:right="1474" w:bottom="1757" w:left="1587" w:header="851" w:footer="992" w:gutter="0"/>
      <w:cols w:space="720" w:num="1"/>
      <w:docGrid w:type="linesAndChars" w:linePitch="312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17907436">
    <w:nsid w:val="5A796DEC"/>
    <w:multiLevelType w:val="singleLevel"/>
    <w:tmpl w:val="5A796DEC"/>
    <w:lvl w:ilvl="0" w:tentative="1">
      <w:start w:val="1"/>
      <w:numFmt w:val="chineseCounting"/>
      <w:suff w:val="nothing"/>
      <w:lvlText w:val="%1、"/>
      <w:lvlJc w:val="left"/>
    </w:lvl>
  </w:abstractNum>
  <w:abstractNum w:abstractNumId="3250723971">
    <w:nsid w:val="C1C21C83"/>
    <w:multiLevelType w:val="singleLevel"/>
    <w:tmpl w:val="C1C21C83"/>
    <w:lvl w:ilvl="0" w:tentative="1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515138474">
    <w:nsid w:val="5A4F2DAA"/>
    <w:multiLevelType w:val="singleLevel"/>
    <w:tmpl w:val="5A4F2DAA"/>
    <w:lvl w:ilvl="0" w:tentative="1">
      <w:start w:val="1"/>
      <w:numFmt w:val="chineseCounting"/>
      <w:suff w:val="nothing"/>
      <w:lvlText w:val="（%1）"/>
      <w:lvlJc w:val="left"/>
    </w:lvl>
  </w:abstractNum>
  <w:num w:numId="1">
    <w:abstractNumId w:val="1517907436"/>
  </w:num>
  <w:num w:numId="2">
    <w:abstractNumId w:val="3250723971"/>
  </w:num>
  <w:num w:numId="3">
    <w:abstractNumId w:val="151513847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1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 Char"/>
    <w:basedOn w:val="4"/>
    <w:link w:val="3"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6">
    <w:name w:val="页脚 Char Char"/>
    <w:basedOn w:val="4"/>
    <w:link w:val="2"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495</Words>
  <Characters>2827</Characters>
  <Lines>23</Lines>
  <Paragraphs>6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2018-01-04T09:29:00Z</dcterms:created>
  <dc:creator>Administrator</dc:creator>
  <cp:lastModifiedBy>Administrator</cp:lastModifiedBy>
  <cp:lastPrinted>2018-09-12T02:21:00Z</cp:lastPrinted>
  <dcterms:modified xsi:type="dcterms:W3CDTF">2019-02-26T07:38:26Z</dcterms:modified>
  <dc:title>附件1：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