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焦作市城乡一体化示范区土地收储中心</w:t>
      </w: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2018年度部门预算</w:t>
      </w: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360" w:lineRule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  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第二部门 </w:t>
      </w:r>
      <w:r>
        <w:rPr>
          <w:rFonts w:hint="eastAsia" w:ascii="仿宋_GB2312" w:eastAsia="仿宋_GB2312"/>
          <w:b/>
          <w:bCs/>
          <w:sz w:val="32"/>
          <w:szCs w:val="32"/>
        </w:rPr>
        <w:t>土地收储中心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土地收储中心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土地收储中心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adjustRightInd w:val="0"/>
        <w:snapToGrid w:val="0"/>
        <w:spacing w:line="360" w:lineRule="auto"/>
        <w:ind w:firstLine="624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机构设置情况</w:t>
      </w:r>
    </w:p>
    <w:p>
      <w:pPr>
        <w:spacing w:line="400" w:lineRule="exact"/>
        <w:ind w:firstLine="54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28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焦作市城乡一体化示范区财政局下设会计核算中心、土地收购储备中心两个事业单位，焦作市城乡一体化示范区土地收购储备中心规格为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副科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级，实有工作人员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名，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副科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级1名，经费供给方式为示范区财政全额拨付。</w:t>
      </w:r>
    </w:p>
    <w:p>
      <w:pPr>
        <w:kinsoku w:val="0"/>
        <w:overflowPunct w:val="0"/>
        <w:adjustRightInd w:val="0"/>
        <w:snapToGrid w:val="0"/>
        <w:spacing w:line="360" w:lineRule="auto"/>
        <w:ind w:right="3569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（二）部门职责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544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28"/>
        </w:rPr>
        <w:t>负责示范区土地收储相关业务。</w:t>
      </w:r>
      <w:r>
        <w:rPr>
          <w:rFonts w:hint="eastAsia" w:ascii="仿宋" w:hAnsi="仿宋" w:eastAsia="仿宋"/>
          <w:sz w:val="28"/>
        </w:rPr>
        <w:t>  </w:t>
      </w:r>
    </w:p>
    <w:p>
      <w:pPr>
        <w:numPr>
          <w:ilvl w:val="0"/>
          <w:numId w:val="3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土地收储中心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预算单位构成</w:t>
      </w:r>
    </w:p>
    <w:p>
      <w:pPr>
        <w:spacing w:line="400" w:lineRule="exact"/>
        <w:ind w:firstLine="624" w:firstLineChars="200"/>
        <w:rPr>
          <w:rFonts w:hint="eastAsia" w:ascii="仿宋_GB2312" w:hAnsi="仿宋" w:eastAsia="仿宋_GB2312"/>
          <w:sz w:val="28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焦作市城乡一体化示范区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土地收购储备中心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隶属焦作市城乡一体化示范区财政局下设二级机构</w:t>
      </w:r>
    </w:p>
    <w:p>
      <w:pPr>
        <w:kinsoku w:val="0"/>
        <w:overflowPunct w:val="0"/>
        <w:adjustRightInd w:val="0"/>
        <w:snapToGrid w:val="0"/>
        <w:spacing w:line="360" w:lineRule="auto"/>
        <w:ind w:right="3569"/>
        <w:jc w:val="left"/>
        <w:outlineLvl w:val="0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2018年度土地收储中心预算情况说明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Arial" w:hAnsi="Arial" w:eastAsia="仿宋_GB2312" w:cs="Arial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土地收储中心2018年收入</w:t>
      </w:r>
      <w:bookmarkStart w:id="0" w:name="_Hlk526790464"/>
      <w:r>
        <w:rPr>
          <w:rFonts w:ascii="Arial" w:hAnsi="Arial" w:eastAsia="仿宋_GB2312" w:cs="Arial"/>
          <w:sz w:val="32"/>
          <w:szCs w:val="32"/>
        </w:rPr>
        <w:t>61.8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ascii="Arial" w:hAnsi="Arial" w:eastAsia="仿宋_GB2312" w:cs="Arial"/>
          <w:sz w:val="32"/>
          <w:szCs w:val="32"/>
        </w:rPr>
        <w:t>61.8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万元，与2017年相比，收、支总计各增加</w:t>
      </w:r>
      <w:r>
        <w:rPr>
          <w:rFonts w:ascii="Arial" w:hAnsi="Arial" w:eastAsia="仿宋_GB2312" w:cs="Arial"/>
          <w:sz w:val="32"/>
          <w:szCs w:val="32"/>
        </w:rPr>
        <w:t>11.67</w:t>
      </w:r>
      <w:r>
        <w:rPr>
          <w:rFonts w:hint="eastAsia" w:ascii="Arial" w:hAnsi="Arial" w:eastAsia="仿宋_GB2312" w:cs="Arial"/>
          <w:sz w:val="32"/>
          <w:szCs w:val="32"/>
        </w:rPr>
        <w:t>、1</w:t>
      </w:r>
      <w:r>
        <w:rPr>
          <w:rFonts w:ascii="Arial" w:hAnsi="Arial" w:eastAsia="仿宋_GB2312" w:cs="Arial"/>
          <w:sz w:val="32"/>
          <w:szCs w:val="32"/>
        </w:rPr>
        <w:t>1.48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万元，增长2</w:t>
      </w:r>
      <w:r>
        <w:rPr>
          <w:rFonts w:ascii="仿宋_GB2312" w:hAnsi="仿宋_GB2312" w:eastAsia="仿宋_GB2312" w:cs="仿宋_GB2312"/>
          <w:sz w:val="32"/>
          <w:szCs w:val="32"/>
        </w:rPr>
        <w:t>3.3</w:t>
      </w:r>
      <w:r>
        <w:rPr>
          <w:rFonts w:hint="eastAsia" w:ascii="仿宋_GB2312" w:hAnsi="仿宋_GB2312" w:eastAsia="仿宋_GB2312" w:cs="仿宋_GB2312"/>
          <w:sz w:val="32"/>
          <w:szCs w:val="32"/>
        </w:rPr>
        <w:t>%、2</w:t>
      </w:r>
      <w:r>
        <w:rPr>
          <w:rFonts w:ascii="仿宋_GB2312" w:hAnsi="仿宋_GB2312" w:eastAsia="仿宋_GB2312" w:cs="仿宋_GB2312"/>
          <w:sz w:val="32"/>
          <w:szCs w:val="32"/>
        </w:rPr>
        <w:t>2.8</w:t>
      </w:r>
      <w:bookmarkStart w:id="1" w:name="_Hlk526790396"/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主要原因：人员经费增加和部分项目预算增加。 </w:t>
      </w:r>
      <w:r>
        <w:rPr>
          <w:rFonts w:hint="eastAsia" w:ascii="Arial" w:hAnsi="Arial" w:eastAsia="仿宋_GB2312" w:cs="Arial"/>
          <w:color w:val="auto"/>
          <w:sz w:val="32"/>
          <w:szCs w:val="32"/>
        </w:rPr>
        <w:t xml:space="preserve"> </w:t>
      </w:r>
      <w:r>
        <w:rPr>
          <w:rFonts w:hint="eastAsia" w:ascii="Arial" w:hAnsi="Arial" w:eastAsia="仿宋_GB2312" w:cs="Arial"/>
          <w:sz w:val="32"/>
          <w:szCs w:val="32"/>
        </w:rPr>
        <w:t xml:space="preserve"> 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土地收储中心2018年收入合计</w:t>
      </w:r>
      <w:r>
        <w:rPr>
          <w:rFonts w:ascii="Arial" w:hAnsi="Arial" w:eastAsia="仿宋_GB2312" w:cs="Arial"/>
          <w:sz w:val="32"/>
          <w:szCs w:val="32"/>
        </w:rPr>
        <w:t>61.8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万元，其中：一般公共预算收入</w:t>
      </w:r>
      <w:r>
        <w:rPr>
          <w:rFonts w:ascii="Arial" w:hAnsi="Arial" w:eastAsia="仿宋_GB2312" w:cs="Arial"/>
          <w:sz w:val="32"/>
          <w:szCs w:val="32"/>
        </w:rPr>
        <w:t>61.8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万元; 政府性基金预算收入</w:t>
      </w:r>
      <w:r>
        <w:rPr>
          <w:rFonts w:ascii="Arial" w:hAnsi="Arial" w:eastAsia="仿宋_GB2312" w:cs="Arial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万元；国有资本经营预算收入</w:t>
      </w:r>
      <w:r>
        <w:rPr>
          <w:rFonts w:ascii="Arial" w:hAnsi="Arial" w:eastAsia="仿宋_GB2312" w:cs="Arial"/>
          <w:sz w:val="32"/>
          <w:szCs w:val="32"/>
        </w:rPr>
        <w:t>0</w:t>
      </w:r>
      <w:r>
        <w:rPr>
          <w:rFonts w:hint="eastAsia" w:ascii="Arial" w:hAnsi="Arial" w:eastAsia="仿宋_GB2312" w:cs="Arial"/>
          <w:sz w:val="32"/>
          <w:szCs w:val="32"/>
        </w:rPr>
        <w:t>万元；其他收入</w:t>
      </w:r>
      <w:r>
        <w:rPr>
          <w:rFonts w:ascii="Arial" w:hAnsi="Arial" w:eastAsia="仿宋_GB2312" w:cs="Arial"/>
          <w:sz w:val="32"/>
          <w:szCs w:val="32"/>
        </w:rPr>
        <w:t>0</w:t>
      </w:r>
      <w:r>
        <w:rPr>
          <w:rFonts w:hint="eastAsia" w:ascii="Arial" w:hAnsi="Arial" w:eastAsia="仿宋_GB2312" w:cs="Arial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土地收储中心2018年支出合计</w:t>
      </w:r>
      <w:r>
        <w:rPr>
          <w:rFonts w:ascii="Arial" w:hAnsi="Arial" w:eastAsia="仿宋_GB2312" w:cs="Arial"/>
          <w:sz w:val="32"/>
          <w:szCs w:val="32"/>
        </w:rPr>
        <w:t>61.8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ascii="Arial" w:hAnsi="Arial" w:eastAsia="仿宋_GB2312" w:cs="Arial"/>
          <w:sz w:val="32"/>
          <w:szCs w:val="32"/>
        </w:rPr>
        <w:t>55.8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ascii="Arial" w:hAnsi="Arial" w:eastAsia="仿宋_GB2312" w:cs="Arial"/>
          <w:sz w:val="32"/>
          <w:szCs w:val="32"/>
        </w:rPr>
        <w:t>90.3</w:t>
      </w:r>
      <w:r>
        <w:rPr>
          <w:rFonts w:hint="eastAsia" w:ascii="Arial" w:hAnsi="Arial" w:eastAsia="仿宋_GB2312" w:cs="Arial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ascii="Arial" w:hAnsi="Arial" w:eastAsia="仿宋_GB2312" w:cs="Arial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ascii="Arial" w:hAnsi="Arial" w:eastAsia="仿宋_GB2312" w:cs="Arial"/>
          <w:sz w:val="32"/>
          <w:szCs w:val="32"/>
        </w:rPr>
        <w:t>9.7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土地收储中心2018年一般公共预算收支预算</w:t>
      </w:r>
      <w:r>
        <w:rPr>
          <w:rFonts w:ascii="Arial" w:hAnsi="Arial" w:eastAsia="仿宋_GB2312" w:cs="Arial"/>
          <w:sz w:val="32"/>
          <w:szCs w:val="32"/>
        </w:rPr>
        <w:t>61.8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万元。政府性基金收支预算</w:t>
      </w:r>
      <w:r>
        <w:rPr>
          <w:rFonts w:ascii="Arial" w:hAnsi="Arial" w:eastAsia="仿宋_GB2312" w:cs="Arial"/>
          <w:sz w:val="32"/>
          <w:szCs w:val="32"/>
        </w:rPr>
        <w:t>0</w:t>
      </w:r>
      <w:r>
        <w:rPr>
          <w:rFonts w:hint="eastAsia" w:ascii="Arial" w:hAnsi="Arial" w:eastAsia="仿宋_GB2312" w:cs="Arial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与 2017年相比，一般公共预算收支预算增加</w:t>
      </w:r>
      <w:r>
        <w:rPr>
          <w:rFonts w:ascii="Arial" w:hAnsi="Arial" w:eastAsia="仿宋_GB2312" w:cs="Arial"/>
          <w:sz w:val="32"/>
          <w:szCs w:val="32"/>
        </w:rPr>
        <w:t>11.67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ascii="Arial" w:hAnsi="Arial" w:eastAsia="仿宋_GB2312" w:cs="Arial"/>
          <w:sz w:val="32"/>
          <w:szCs w:val="32"/>
        </w:rPr>
        <w:t>23.3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%，主要原因：</w:t>
      </w:r>
      <w:r>
        <w:rPr>
          <w:rFonts w:hint="eastAsia" w:ascii="Arial" w:hAnsi="Arial" w:eastAsia="仿宋_GB2312" w:cs="Arial"/>
          <w:sz w:val="32"/>
          <w:szCs w:val="32"/>
        </w:rPr>
        <w:t>人员经费增加；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政府性基金收支增加</w:t>
      </w:r>
      <w:r>
        <w:rPr>
          <w:rFonts w:ascii="Arial" w:hAnsi="Arial" w:eastAsia="仿宋_GB2312" w:cs="Arial"/>
          <w:sz w:val="32"/>
          <w:szCs w:val="32"/>
        </w:rPr>
        <w:t>0</w:t>
      </w:r>
      <w:r>
        <w:rPr>
          <w:rFonts w:hint="eastAsia" w:ascii="Arial" w:hAnsi="Arial" w:eastAsia="仿宋_GB2312" w:cs="Arial"/>
          <w:sz w:val="32"/>
          <w:szCs w:val="32"/>
        </w:rPr>
        <w:t>万元，增长</w:t>
      </w:r>
      <w:r>
        <w:rPr>
          <w:rFonts w:ascii="Arial" w:hAnsi="Arial" w:eastAsia="仿宋_GB2312" w:cs="Arial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无政府性基金预算。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土地收储中心2018年一般公共预算支出年初预算为</w:t>
      </w:r>
      <w:r>
        <w:rPr>
          <w:rFonts w:ascii="Arial" w:hAnsi="Arial" w:eastAsia="仿宋_GB2312" w:cs="Arial"/>
          <w:sz w:val="32"/>
          <w:szCs w:val="32"/>
        </w:rPr>
        <w:t>61.8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一般公共服务支出</w:t>
      </w:r>
      <w:r>
        <w:rPr>
          <w:rFonts w:ascii="Arial" w:hAnsi="Arial" w:eastAsia="仿宋_GB2312" w:cs="Arial"/>
          <w:sz w:val="32"/>
          <w:szCs w:val="32"/>
        </w:rPr>
        <w:t>61.8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万元，占1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ascii="仿宋_GB2312" w:hAnsi="仿宋_GB2312" w:eastAsia="仿宋_GB2312" w:cs="仿宋_GB2312"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土地收储中心2018年一般公共预算基本支出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5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5.8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>52.62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基本工资、津贴补贴、奖金、绩效工资、机关事业单位基本养老保险缴费、职业年金缴费、医疗保险缴费、其他社会保障缴费、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工会经费、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住房公积金、其他工资福利支出、福利费、其他对个人和家庭的补助支出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3.18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，主要包括：办公费、印刷费、咨询费、手续费、水费、电费、邮电费、差旅费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维修（护）费、会议费、培训费、公务接待费、公务用车运行维护费、其他商品和服务支出、信息网络及软件购置更新、公务用车购置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等支出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七、政府性基金预算支出预算情况说明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我单位2018年没有使用政府性基金预算拨款安排的支出。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国有资本经营预算支出预算情况说明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我单位2018年没有使用政国有资本经营预算拨款安排的支出。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九、“三公”经费支出预算情况说明</w:t>
      </w:r>
    </w:p>
    <w:p>
      <w:pPr>
        <w:widowControl/>
        <w:ind w:firstLine="624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土地收储中心2018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 比 2017年预算数减少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360" w:lineRule="auto"/>
        <w:outlineLvl w:val="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.3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元。其中公务用车运行维护费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.3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，主要用于</w:t>
      </w:r>
      <w:r>
        <w:rPr>
          <w:rFonts w:hint="eastAsia" w:ascii="仿宋_GB2312" w:hAnsi="仿宋" w:eastAsia="仿宋_GB2312" w:cs="仿宋"/>
          <w:sz w:val="32"/>
          <w:szCs w:val="32"/>
        </w:rPr>
        <w:t>公务用车购置费及租用费、燃料费、维修费、过路过桥费、保险费、安全奖励费等支出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,比2017年减少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.2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万元，较上年下降1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3.3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</w:rPr>
        <w:t>深入贯彻中央“八项规定”精神等工作要求，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  <w:lang w:val="en-US" w:eastAsia="zh-CN"/>
        </w:rPr>
        <w:t>大力压缩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“三公”经费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spacing w:line="360" w:lineRule="auto"/>
        <w:ind w:firstLine="62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</w:t>
      </w:r>
      <w:r>
        <w:rPr>
          <w:rFonts w:ascii="仿宋_GB2312" w:hAnsi="仿宋_GB2312" w:eastAsia="仿宋_GB2312" w:cs="仿宋_GB2312"/>
          <w:color w:val="auto"/>
          <w:kern w:val="0"/>
          <w:sz w:val="32"/>
          <w:szCs w:val="32"/>
        </w:rPr>
        <w:t>.2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万元，主要用于</w:t>
      </w:r>
      <w:r>
        <w:rPr>
          <w:rFonts w:hint="eastAsia" w:ascii="仿宋_GB2312" w:hAnsi="仿宋" w:eastAsia="仿宋_GB2312" w:cs="仿宋"/>
          <w:color w:val="auto"/>
          <w:sz w:val="32"/>
          <w:szCs w:val="32"/>
        </w:rPr>
        <w:t>单位按规定开支的各类公务接待支出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，比2017年预算数减少0</w:t>
      </w:r>
      <w:r>
        <w:rPr>
          <w:rFonts w:ascii="仿宋_GB2312" w:hAnsi="仿宋_GB2312" w:eastAsia="仿宋_GB2312" w:cs="仿宋_GB2312"/>
          <w:color w:val="auto"/>
          <w:kern w:val="0"/>
          <w:sz w:val="32"/>
          <w:szCs w:val="32"/>
        </w:rPr>
        <w:t>.8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万元，下降8</w:t>
      </w:r>
      <w:r>
        <w:rPr>
          <w:rFonts w:ascii="仿宋_GB2312" w:hAnsi="仿宋_GB2312" w:eastAsia="仿宋_GB2312" w:cs="仿宋_GB2312"/>
          <w:color w:val="auto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%，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</w:rPr>
        <w:t>深入贯彻中央“八项规定”精神等工作要求，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  <w:lang w:val="en-US" w:eastAsia="zh-CN"/>
        </w:rPr>
        <w:t>大力压缩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“三公”经费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十、其他重要事项的情况说明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（一）机关运行经费支出情况</w:t>
      </w:r>
    </w:p>
    <w:p>
      <w:pPr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土地收储中心2018年机关运行经费支出预算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.18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万元，主要保障机关机构正常运转及正常履职需要的办公费、水电费、物业费、维修费、差旅费等支出，比2017年减少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.12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万元，下降1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.12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</w:rPr>
        <w:t>深入贯彻中央“八项规定”精神等工作要求，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  <w:lang w:val="en-US" w:eastAsia="zh-CN"/>
        </w:rPr>
        <w:t>大力压缩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“三公”经费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2018年政府采购预算安排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2017年，我部门对1个项目进行了预算绩效评价，涉及资金6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2018年，我部门纳入预算绩效管理的支出总额为9万元。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 xml:space="preserve"> </w:t>
      </w:r>
    </w:p>
    <w:p>
      <w:pPr>
        <w:ind w:left="404" w:left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（四）国有资产占用情况</w:t>
      </w:r>
    </w:p>
    <w:p>
      <w:pPr>
        <w:widowControl/>
        <w:spacing w:line="360" w:lineRule="auto"/>
        <w:ind w:firstLine="624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2017年期末，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土地收购储备中心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固定资产总额0万元，无房屋建筑物及车辆，无单价50万元以上通用设备及单价100万元以上专用设备。</w:t>
      </w:r>
    </w:p>
    <w:p>
      <w:pPr>
        <w:widowControl/>
        <w:ind w:firstLine="624" w:firstLineChars="200"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（五）关于预算部门构成说明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2018年我单位按照市财政预算公开要求，将所属预算单位全部纳入预算公开范围。</w:t>
      </w: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一、财政拨款收入：是指市级财政当年拨付的资金。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“三公”经费：是指纳入市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七、机关运行经费：是指为保障行政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机构正常运转及正常履职需要的办公费、水电费、日常维修、物业费、维修费、差旅费、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附件：土地收储中心2018年度部门预算表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2018年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2154" w:right="1474" w:bottom="1757" w:left="1587" w:header="851" w:footer="992" w:gutter="0"/>
      <w:cols w:space="720" w:num="1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F2DAA"/>
    <w:multiLevelType w:val="singleLevel"/>
    <w:tmpl w:val="5A4F2DAA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796DEC"/>
    <w:multiLevelType w:val="singleLevel"/>
    <w:tmpl w:val="5A796DEC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BBB2254"/>
    <w:multiLevelType w:val="singleLevel"/>
    <w:tmpl w:val="5BBB2254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5BBB2282"/>
    <w:multiLevelType w:val="singleLevel"/>
    <w:tmpl w:val="5BBB2282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33C712C"/>
    <w:rsid w:val="4C412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uiPriority w:val="0"/>
    <w:rPr>
      <w:rFonts w:ascii="Calibri" w:hAnsi="Calibri" w:cs="黑体"/>
      <w:kern w:val="2"/>
      <w:sz w:val="18"/>
      <w:szCs w:val="18"/>
    </w:rPr>
  </w:style>
  <w:style w:type="character" w:customStyle="1" w:styleId="7">
    <w:name w:val="页脚 字符"/>
    <w:link w:val="2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472</Words>
  <Characters>2693</Characters>
  <Lines>22</Lines>
  <Paragraphs>6</Paragraphs>
  <TotalTime>1</TotalTime>
  <ScaleCrop>false</ScaleCrop>
  <LinksUpToDate>false</LinksUpToDate>
  <CharactersWithSpaces>0</CharactersWithSpaces>
  <Application>WPS Office_11.1.0.8391_F1E327BC-269C-435d-A152-05C5408002CA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2018-08-06T00:36:00Z</cp:lastPrinted>
  <dcterms:modified xsi:type="dcterms:W3CDTF">2019-02-26T09:27:22Z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2052-11.1.0.8391</vt:lpwstr>
  </property>
</Properties>
</file>