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djustRightInd w:val="0"/>
        <w:snapToGrid w:val="0"/>
        <w:spacing w:line="360" w:lineRule="auto"/>
        <w:jc w:val="left"/>
        <w:rPr>
          <w:rFonts w:ascii="仿宋_GB2312" w:hAnsi="仿宋_GB2312" w:eastAsia="仿宋_GB2312" w:cs="仿宋_GB2312"/>
          <w:sz w:val="32"/>
          <w:szCs w:val="32"/>
        </w:rPr>
      </w:pPr>
      <w:r>
        <w:rPr>
          <w:rFonts w:hint="eastAsia" w:ascii="黑体" w:hAnsi="黑体" w:eastAsia="黑体" w:cs="黑体"/>
          <w:sz w:val="32"/>
          <w:szCs w:val="32"/>
        </w:rPr>
        <w:t>附件1</w:t>
      </w:r>
      <w:r>
        <w:rPr>
          <w:rFonts w:hint="eastAsia" w:ascii="仿宋_GB2312" w:hAnsi="仿宋_GB2312" w:eastAsia="仿宋_GB2312" w:cs="仿宋_GB2312"/>
          <w:sz w:val="32"/>
          <w:szCs w:val="32"/>
        </w:rPr>
        <w:t>：</w:t>
      </w:r>
    </w:p>
    <w:p>
      <w:pPr>
        <w:widowControl/>
        <w:jc w:val="left"/>
        <w:rPr>
          <w:rFonts w:ascii="黑体" w:hAnsi="宋体" w:eastAsia="黑体"/>
          <w:kern w:val="0"/>
          <w:sz w:val="28"/>
          <w:szCs w:val="28"/>
        </w:rPr>
      </w:pPr>
    </w:p>
    <w:p>
      <w:pPr>
        <w:widowControl/>
        <w:jc w:val="left"/>
        <w:rPr>
          <w:rFonts w:ascii="黑体" w:hAnsi="宋体" w:eastAsia="黑体"/>
          <w:kern w:val="0"/>
          <w:sz w:val="28"/>
          <w:szCs w:val="28"/>
        </w:rPr>
      </w:pPr>
    </w:p>
    <w:p>
      <w:pPr>
        <w:widowControl/>
        <w:jc w:val="left"/>
        <w:rPr>
          <w:rFonts w:ascii="黑体" w:hAnsi="宋体" w:eastAsia="黑体"/>
          <w:kern w:val="0"/>
          <w:sz w:val="28"/>
          <w:szCs w:val="28"/>
        </w:rPr>
      </w:pPr>
    </w:p>
    <w:p>
      <w:pPr>
        <w:widowControl/>
        <w:jc w:val="left"/>
        <w:rPr>
          <w:rFonts w:ascii="黑体" w:hAnsi="宋体" w:eastAsia="黑体"/>
          <w:kern w:val="0"/>
          <w:sz w:val="28"/>
          <w:szCs w:val="28"/>
        </w:rPr>
      </w:pPr>
    </w:p>
    <w:p>
      <w:pPr>
        <w:widowControl/>
        <w:jc w:val="left"/>
        <w:rPr>
          <w:rFonts w:ascii="黑体" w:hAnsi="宋体" w:eastAsia="黑体"/>
          <w:kern w:val="0"/>
          <w:sz w:val="28"/>
          <w:szCs w:val="28"/>
        </w:rPr>
      </w:pPr>
    </w:p>
    <w:p>
      <w:pPr>
        <w:jc w:val="center"/>
        <w:rPr>
          <w:rFonts w:ascii="黑体" w:hAnsi="黑体" w:eastAsia="黑体" w:cs="黑体"/>
          <w:sz w:val="52"/>
          <w:szCs w:val="52"/>
        </w:rPr>
      </w:pPr>
      <w:r>
        <w:rPr>
          <w:rFonts w:ascii="黑体" w:hAnsi="黑体" w:eastAsia="黑体" w:cs="黑体"/>
          <w:sz w:val="52"/>
          <w:szCs w:val="52"/>
        </w:rPr>
        <w:t>焦作市城乡一体化示范区</w:t>
      </w:r>
    </w:p>
    <w:p>
      <w:pPr>
        <w:jc w:val="center"/>
        <w:rPr>
          <w:rFonts w:ascii="黑体" w:hAnsi="黑体" w:eastAsia="黑体" w:cs="黑体"/>
          <w:sz w:val="52"/>
          <w:szCs w:val="52"/>
        </w:rPr>
      </w:pPr>
      <w:r>
        <w:rPr>
          <w:rFonts w:hint="eastAsia" w:ascii="黑体" w:hAnsi="黑体" w:eastAsia="黑体" w:cs="黑体"/>
          <w:sz w:val="52"/>
          <w:szCs w:val="52"/>
        </w:rPr>
        <w:t>人力资源服务中心</w:t>
      </w:r>
    </w:p>
    <w:p>
      <w:pPr>
        <w:jc w:val="center"/>
        <w:rPr>
          <w:rFonts w:ascii="黑体" w:hAnsi="黑体" w:eastAsia="黑体" w:cs="黑体"/>
          <w:sz w:val="52"/>
          <w:szCs w:val="52"/>
        </w:rPr>
      </w:pPr>
      <w:r>
        <w:rPr>
          <w:rFonts w:hint="eastAsia" w:ascii="黑体" w:hAnsi="黑体" w:eastAsia="黑体" w:cs="黑体"/>
          <w:sz w:val="52"/>
          <w:szCs w:val="52"/>
        </w:rPr>
        <w:t>2018年度部门预算</w:t>
      </w:r>
    </w:p>
    <w:p>
      <w:pPr>
        <w:jc w:val="center"/>
        <w:rPr>
          <w:rFonts w:ascii="黑体" w:hAnsi="黑体" w:eastAsia="黑体" w:cs="黑体"/>
          <w:sz w:val="52"/>
          <w:szCs w:val="52"/>
        </w:rPr>
      </w:pPr>
    </w:p>
    <w:p>
      <w:pPr>
        <w:jc w:val="center"/>
        <w:rPr>
          <w:rFonts w:ascii="黑体" w:hAnsi="黑体" w:eastAsia="黑体" w:cs="黑体"/>
          <w:sz w:val="52"/>
          <w:szCs w:val="52"/>
        </w:rPr>
      </w:pPr>
    </w:p>
    <w:p>
      <w:pPr>
        <w:jc w:val="center"/>
        <w:rPr>
          <w:rFonts w:ascii="黑体" w:hAnsi="黑体" w:eastAsia="黑体" w:cs="黑体"/>
          <w:sz w:val="52"/>
          <w:szCs w:val="52"/>
        </w:rPr>
      </w:pPr>
    </w:p>
    <w:p>
      <w:pPr>
        <w:jc w:val="center"/>
        <w:rPr>
          <w:rFonts w:ascii="黑体" w:hAnsi="黑体" w:eastAsia="黑体" w:cs="黑体"/>
          <w:sz w:val="52"/>
          <w:szCs w:val="52"/>
        </w:rPr>
      </w:pPr>
    </w:p>
    <w:p>
      <w:pPr>
        <w:jc w:val="center"/>
        <w:rPr>
          <w:rFonts w:ascii="黑体" w:hAnsi="黑体" w:eastAsia="黑体" w:cs="黑体"/>
          <w:sz w:val="52"/>
          <w:szCs w:val="52"/>
        </w:rPr>
      </w:pPr>
    </w:p>
    <w:p>
      <w:pPr>
        <w:adjustRightInd w:val="0"/>
        <w:snapToGrid w:val="0"/>
        <w:spacing w:line="360" w:lineRule="auto"/>
        <w:jc w:val="center"/>
        <w:rPr>
          <w:rFonts w:ascii="方正小标宋简体" w:hAnsi="方正小标宋简体" w:eastAsia="方正小标宋简体" w:cs="方正小标宋简体"/>
          <w:sz w:val="44"/>
          <w:szCs w:val="44"/>
        </w:rPr>
      </w:pPr>
    </w:p>
    <w:p>
      <w:pPr>
        <w:adjustRightInd w:val="0"/>
        <w:snapToGrid w:val="0"/>
        <w:spacing w:line="360" w:lineRule="auto"/>
        <w:rPr>
          <w:rFonts w:ascii="方正小标宋简体" w:hAnsi="方正小标宋简体" w:eastAsia="方正小标宋简体" w:cs="方正小标宋简体"/>
          <w:sz w:val="44"/>
          <w:szCs w:val="44"/>
        </w:rPr>
      </w:pPr>
    </w:p>
    <w:p>
      <w:pPr>
        <w:kinsoku w:val="0"/>
        <w:overflowPunct w:val="0"/>
        <w:adjustRightInd w:val="0"/>
        <w:snapToGrid w:val="0"/>
        <w:spacing w:line="360" w:lineRule="auto"/>
        <w:ind w:left="101" w:right="3569" w:firstLine="622" w:firstLineChars="200"/>
        <w:rPr>
          <w:rFonts w:ascii="仿宋_GB2312" w:hAnsi="仿宋_GB2312" w:eastAsia="仿宋_GB2312" w:cs="仿宋_GB2312"/>
          <w:sz w:val="32"/>
          <w:szCs w:val="32"/>
        </w:rPr>
      </w:pPr>
    </w:p>
    <w:p>
      <w:pPr>
        <w:kinsoku w:val="0"/>
        <w:overflowPunct w:val="0"/>
        <w:adjustRightInd w:val="0"/>
        <w:snapToGrid w:val="0"/>
        <w:spacing w:line="360" w:lineRule="auto"/>
        <w:ind w:left="-142" w:right="51" w:firstLine="30" w:firstLineChars="7"/>
        <w:jc w:val="center"/>
        <w:rPr>
          <w:rFonts w:ascii="仿宋_GB2312" w:hAnsi="仿宋_GB2312" w:eastAsia="仿宋_GB2312" w:cs="仿宋_GB2312"/>
          <w:sz w:val="44"/>
          <w:szCs w:val="44"/>
        </w:rPr>
      </w:pPr>
      <w:r>
        <w:rPr>
          <w:rFonts w:hint="eastAsia" w:ascii="仿宋_GB2312" w:hAnsi="仿宋_GB2312" w:eastAsia="仿宋_GB2312" w:cs="仿宋_GB2312"/>
          <w:sz w:val="44"/>
          <w:szCs w:val="44"/>
        </w:rPr>
        <w:t>目</w:t>
      </w:r>
      <w:r>
        <w:rPr>
          <w:rFonts w:hint="eastAsia" w:ascii="仿宋_GB2312" w:hAnsi="仿宋_GB2312" w:eastAsia="仿宋_GB2312" w:cs="仿宋_GB2312"/>
          <w:spacing w:val="2"/>
          <w:sz w:val="44"/>
          <w:szCs w:val="44"/>
        </w:rPr>
        <w:t xml:space="preserve"> </w:t>
      </w:r>
      <w:r>
        <w:rPr>
          <w:rFonts w:hint="eastAsia" w:ascii="仿宋_GB2312" w:hAnsi="仿宋_GB2312" w:eastAsia="仿宋_GB2312" w:cs="仿宋_GB2312"/>
          <w:sz w:val="44"/>
          <w:szCs w:val="44"/>
        </w:rPr>
        <w:t>录</w:t>
      </w:r>
    </w:p>
    <w:p>
      <w:pPr>
        <w:kinsoku w:val="0"/>
        <w:overflowPunct w:val="0"/>
        <w:adjustRightInd w:val="0"/>
        <w:snapToGrid w:val="0"/>
        <w:spacing w:line="360" w:lineRule="auto"/>
        <w:ind w:right="3569" w:firstLine="625" w:firstLineChars="200"/>
        <w:rPr>
          <w:rFonts w:ascii="仿宋_GB2312" w:hAnsi="仿宋_GB2312" w:eastAsia="仿宋_GB2312" w:cs="仿宋_GB2312"/>
          <w:w w:val="99"/>
          <w:sz w:val="32"/>
          <w:szCs w:val="32"/>
        </w:rPr>
      </w:pPr>
      <w:r>
        <w:rPr>
          <w:rFonts w:hint="eastAsia" w:ascii="仿宋_GB2312" w:hAnsi="仿宋_GB2312" w:eastAsia="仿宋_GB2312" w:cs="仿宋_GB2312"/>
          <w:b/>
          <w:bCs/>
          <w:sz w:val="32"/>
          <w:szCs w:val="32"/>
        </w:rPr>
        <w:t>第一部分  概况</w:t>
      </w:r>
      <w:r>
        <w:rPr>
          <w:rFonts w:hint="eastAsia" w:ascii="仿宋_GB2312" w:hAnsi="仿宋_GB2312" w:eastAsia="仿宋_GB2312" w:cs="仿宋_GB2312"/>
          <w:w w:val="99"/>
          <w:sz w:val="32"/>
          <w:szCs w:val="32"/>
        </w:rPr>
        <w:t xml:space="preserve"> </w:t>
      </w:r>
    </w:p>
    <w:p>
      <w:pPr>
        <w:kinsoku w:val="0"/>
        <w:overflowPunct w:val="0"/>
        <w:adjustRightInd w:val="0"/>
        <w:snapToGrid w:val="0"/>
        <w:spacing w:line="360" w:lineRule="auto"/>
        <w:ind w:right="3569" w:firstLine="933" w:firstLineChars="3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一、主要职能</w:t>
      </w:r>
    </w:p>
    <w:p>
      <w:pPr>
        <w:kinsoku w:val="0"/>
        <w:overflowPunct w:val="0"/>
        <w:adjustRightInd w:val="0"/>
        <w:snapToGrid w:val="0"/>
        <w:spacing w:line="360" w:lineRule="auto"/>
        <w:ind w:right="3569" w:firstLine="933" w:firstLineChars="3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二、部门预算单位构成</w:t>
      </w:r>
    </w:p>
    <w:p>
      <w:pPr>
        <w:kinsoku w:val="0"/>
        <w:overflowPunct w:val="0"/>
        <w:adjustRightInd w:val="0"/>
        <w:snapToGrid w:val="0"/>
        <w:spacing w:line="360" w:lineRule="auto"/>
        <w:ind w:right="521" w:firstLine="625"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第二部门 人力资源服务中心2018年部门预算情况说明</w:t>
      </w:r>
    </w:p>
    <w:p>
      <w:pPr>
        <w:kinsoku w:val="0"/>
        <w:overflowPunct w:val="0"/>
        <w:adjustRightInd w:val="0"/>
        <w:snapToGrid w:val="0"/>
        <w:spacing w:line="360" w:lineRule="auto"/>
        <w:ind w:right="521" w:firstLine="625"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第三部分 名词解释</w:t>
      </w:r>
    </w:p>
    <w:p>
      <w:pPr>
        <w:kinsoku w:val="0"/>
        <w:overflowPunct w:val="0"/>
        <w:adjustRightInd w:val="0"/>
        <w:snapToGrid w:val="0"/>
        <w:spacing w:line="360" w:lineRule="auto"/>
        <w:ind w:firstLine="622"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附件：</w:t>
      </w:r>
      <w:r>
        <w:rPr>
          <w:rFonts w:hint="eastAsia" w:ascii="仿宋_GB2312" w:hAnsi="仿宋_GB2312" w:eastAsia="仿宋_GB2312" w:cs="仿宋_GB2312"/>
          <w:spacing w:val="-32"/>
          <w:sz w:val="32"/>
          <w:szCs w:val="32"/>
        </w:rPr>
        <w:t xml:space="preserve"> </w:t>
      </w:r>
      <w:r>
        <w:rPr>
          <w:rFonts w:hint="eastAsia" w:ascii="仿宋_GB2312" w:hAnsi="仿宋_GB2312" w:eastAsia="仿宋_GB2312" w:cs="仿宋_GB2312"/>
          <w:sz w:val="32"/>
          <w:szCs w:val="32"/>
        </w:rPr>
        <w:t xml:space="preserve"> 人力资源服务中心2018</w:t>
      </w:r>
      <w:r>
        <w:rPr>
          <w:rFonts w:hint="eastAsia" w:ascii="仿宋_GB2312" w:hAnsi="仿宋_GB2312" w:eastAsia="仿宋_GB2312" w:cs="仿宋_GB2312"/>
          <w:spacing w:val="-116"/>
          <w:sz w:val="32"/>
          <w:szCs w:val="32"/>
        </w:rPr>
        <w:t xml:space="preserve"> </w:t>
      </w:r>
      <w:r>
        <w:rPr>
          <w:rFonts w:hint="eastAsia" w:ascii="仿宋_GB2312" w:hAnsi="仿宋_GB2312" w:eastAsia="仿宋_GB2312" w:cs="仿宋_GB2312"/>
          <w:sz w:val="32"/>
          <w:szCs w:val="32"/>
        </w:rPr>
        <w:t>年度部门预算表</w:t>
      </w:r>
    </w:p>
    <w:p>
      <w:pPr>
        <w:kinsoku w:val="0"/>
        <w:overflowPunct w:val="0"/>
        <w:adjustRightInd w:val="0"/>
        <w:snapToGrid w:val="0"/>
        <w:spacing w:line="360" w:lineRule="auto"/>
        <w:ind w:right="51" w:firstLine="1866"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一、部门收支总体情况表</w:t>
      </w:r>
    </w:p>
    <w:p>
      <w:pPr>
        <w:kinsoku w:val="0"/>
        <w:overflowPunct w:val="0"/>
        <w:adjustRightInd w:val="0"/>
        <w:snapToGrid w:val="0"/>
        <w:spacing w:line="360" w:lineRule="auto"/>
        <w:ind w:right="51" w:firstLine="1866"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二、部门收入总体情况表</w:t>
      </w:r>
    </w:p>
    <w:p>
      <w:pPr>
        <w:kinsoku w:val="0"/>
        <w:overflowPunct w:val="0"/>
        <w:adjustRightInd w:val="0"/>
        <w:snapToGrid w:val="0"/>
        <w:spacing w:line="360" w:lineRule="auto"/>
        <w:ind w:right="51" w:firstLine="1866"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三、部门支出总体情况表</w:t>
      </w:r>
    </w:p>
    <w:p>
      <w:pPr>
        <w:kinsoku w:val="0"/>
        <w:overflowPunct w:val="0"/>
        <w:adjustRightInd w:val="0"/>
        <w:snapToGrid w:val="0"/>
        <w:spacing w:line="360" w:lineRule="auto"/>
        <w:ind w:right="51" w:firstLine="1866"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四、财政拨款收支总体情况表</w:t>
      </w:r>
    </w:p>
    <w:p>
      <w:pPr>
        <w:kinsoku w:val="0"/>
        <w:overflowPunct w:val="0"/>
        <w:adjustRightInd w:val="0"/>
        <w:snapToGrid w:val="0"/>
        <w:spacing w:line="360" w:lineRule="auto"/>
        <w:ind w:right="51" w:firstLine="1866"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五、一般公共预算支出情况表</w:t>
      </w:r>
    </w:p>
    <w:p>
      <w:pPr>
        <w:kinsoku w:val="0"/>
        <w:overflowPunct w:val="0"/>
        <w:adjustRightInd w:val="0"/>
        <w:snapToGrid w:val="0"/>
        <w:spacing w:line="360" w:lineRule="auto"/>
        <w:ind w:right="51" w:firstLine="1866"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六、一般公共预算基本支出情况表</w:t>
      </w:r>
    </w:p>
    <w:p>
      <w:pPr>
        <w:kinsoku w:val="0"/>
        <w:overflowPunct w:val="0"/>
        <w:adjustRightInd w:val="0"/>
        <w:snapToGrid w:val="0"/>
        <w:spacing w:line="360" w:lineRule="auto"/>
        <w:ind w:right="51" w:firstLine="1866"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七、一般公共预算“三公”经费支出情况表</w:t>
      </w:r>
    </w:p>
    <w:p>
      <w:pPr>
        <w:kinsoku w:val="0"/>
        <w:overflowPunct w:val="0"/>
        <w:adjustRightInd w:val="0"/>
        <w:snapToGrid w:val="0"/>
        <w:spacing w:line="360" w:lineRule="auto"/>
        <w:ind w:right="51" w:firstLine="1866"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八、政府性基金预算支出情况表</w:t>
      </w:r>
    </w:p>
    <w:p>
      <w:pPr>
        <w:kinsoku w:val="0"/>
        <w:overflowPunct w:val="0"/>
        <w:adjustRightInd w:val="0"/>
        <w:snapToGrid w:val="0"/>
        <w:spacing w:line="360" w:lineRule="auto"/>
        <w:ind w:right="51" w:firstLine="1866"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九、国有资本经营预算收支情况表</w:t>
      </w:r>
    </w:p>
    <w:p>
      <w:pPr>
        <w:kinsoku w:val="0"/>
        <w:overflowPunct w:val="0"/>
        <w:adjustRightInd w:val="0"/>
        <w:snapToGrid w:val="0"/>
        <w:spacing w:line="360" w:lineRule="auto"/>
        <w:ind w:right="51" w:firstLine="1866"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十、机关运行经费</w:t>
      </w:r>
    </w:p>
    <w:p>
      <w:pPr>
        <w:kinsoku w:val="0"/>
        <w:overflowPunct w:val="0"/>
        <w:adjustRightInd w:val="0"/>
        <w:snapToGrid w:val="0"/>
        <w:spacing w:line="360" w:lineRule="auto"/>
        <w:ind w:right="51" w:firstLine="1866"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十一、预算项目支出绩效目标表</w:t>
      </w:r>
    </w:p>
    <w:p>
      <w:pPr>
        <w:adjustRightInd w:val="0"/>
        <w:snapToGrid w:val="0"/>
        <w:spacing w:line="360" w:lineRule="auto"/>
        <w:ind w:firstLine="3732" w:firstLineChars="1200"/>
        <w:rPr>
          <w:rFonts w:ascii="仿宋_GB2312" w:hAnsi="仿宋_GB2312" w:eastAsia="仿宋_GB2312" w:cs="仿宋_GB2312"/>
          <w:sz w:val="32"/>
          <w:szCs w:val="32"/>
        </w:rPr>
      </w:pPr>
    </w:p>
    <w:p>
      <w:pPr>
        <w:adjustRightInd w:val="0"/>
        <w:snapToGrid w:val="0"/>
        <w:spacing w:line="360" w:lineRule="auto"/>
        <w:ind w:firstLine="3747" w:firstLineChars="1200"/>
        <w:rPr>
          <w:rFonts w:ascii="仿宋_GB2312" w:hAnsi="仿宋_GB2312" w:eastAsia="仿宋_GB2312" w:cs="仿宋_GB2312"/>
          <w:b/>
          <w:bCs/>
          <w:sz w:val="32"/>
          <w:szCs w:val="32"/>
        </w:rPr>
      </w:pPr>
    </w:p>
    <w:p>
      <w:pPr>
        <w:adjustRightInd w:val="0"/>
        <w:snapToGrid w:val="0"/>
        <w:spacing w:line="360" w:lineRule="auto"/>
        <w:ind w:firstLine="3747" w:firstLineChars="1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第一部分</w:t>
      </w:r>
    </w:p>
    <w:p>
      <w:pPr>
        <w:adjustRightInd w:val="0"/>
        <w:snapToGrid w:val="0"/>
        <w:spacing w:line="360" w:lineRule="auto"/>
        <w:jc w:val="center"/>
        <w:rPr>
          <w:rFonts w:ascii="仿宋_GB2312" w:hAnsi="仿宋_GB2312" w:eastAsia="仿宋_GB2312" w:cs="仿宋_GB2312"/>
          <w:sz w:val="32"/>
          <w:szCs w:val="32"/>
        </w:rPr>
      </w:pPr>
      <w:r>
        <w:rPr>
          <w:rFonts w:hint="eastAsia" w:ascii="仿宋_GB2312" w:hAnsi="仿宋_GB2312" w:eastAsia="仿宋_GB2312" w:cs="仿宋_GB2312"/>
          <w:b/>
          <w:bCs/>
          <w:sz w:val="32"/>
          <w:szCs w:val="32"/>
        </w:rPr>
        <w:t>人力资源服务中心概况</w:t>
      </w:r>
    </w:p>
    <w:p>
      <w:pPr>
        <w:adjustRightInd w:val="0"/>
        <w:snapToGrid w:val="0"/>
        <w:spacing w:line="360" w:lineRule="auto"/>
        <w:ind w:firstLine="622" w:firstLineChars="200"/>
        <w:jc w:val="center"/>
        <w:rPr>
          <w:rFonts w:ascii="仿宋_GB2312" w:hAnsi="仿宋_GB2312" w:eastAsia="仿宋_GB2312" w:cs="仿宋_GB2312"/>
          <w:sz w:val="32"/>
          <w:szCs w:val="32"/>
        </w:rPr>
      </w:pPr>
    </w:p>
    <w:p>
      <w:pPr>
        <w:numPr>
          <w:ilvl w:val="0"/>
          <w:numId w:val="1"/>
        </w:numPr>
        <w:adjustRightInd w:val="0"/>
        <w:snapToGrid w:val="0"/>
        <w:spacing w:line="360" w:lineRule="auto"/>
        <w:ind w:firstLine="622"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主要职能</w:t>
      </w:r>
    </w:p>
    <w:p>
      <w:pPr>
        <w:numPr>
          <w:ilvl w:val="0"/>
          <w:numId w:val="2"/>
        </w:numPr>
        <w:kinsoku w:val="0"/>
        <w:overflowPunct w:val="0"/>
        <w:adjustRightInd w:val="0"/>
        <w:snapToGrid w:val="0"/>
        <w:spacing w:line="360" w:lineRule="auto"/>
        <w:ind w:right="3569" w:firstLine="622"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机构设置情况</w:t>
      </w:r>
    </w:p>
    <w:p>
      <w:pPr>
        <w:kinsoku w:val="0"/>
        <w:overflowPunct w:val="0"/>
        <w:adjustRightInd w:val="0"/>
        <w:snapToGrid w:val="0"/>
        <w:spacing w:line="360" w:lineRule="auto"/>
        <w:ind w:right="5" w:firstLine="622" w:firstLineChars="200"/>
        <w:jc w:val="left"/>
        <w:rPr>
          <w:rFonts w:ascii="仿宋_GB2312" w:hAnsi="仿宋_GB2312" w:eastAsia="仿宋_GB2312" w:cs="仿宋_GB2312"/>
          <w:bCs/>
          <w:sz w:val="32"/>
          <w:szCs w:val="32"/>
        </w:rPr>
      </w:pPr>
      <w:r>
        <w:rPr>
          <w:rFonts w:ascii="仿宋_GB2312" w:hAnsi="仿宋_GB2312" w:eastAsia="仿宋_GB2312" w:cs="仿宋_GB2312"/>
          <w:bCs/>
          <w:sz w:val="32"/>
          <w:szCs w:val="32"/>
        </w:rPr>
        <w:t>焦作市城乡一体化示范区人力资源服务中心隶属于焦作市城乡一体化示范区组织人力资源社会保障局，</w:t>
      </w:r>
      <w:r>
        <w:rPr>
          <w:rFonts w:hint="eastAsia" w:ascii="仿宋_GB2312" w:hAnsi="仿宋_GB2312" w:eastAsia="仿宋_GB2312" w:cs="仿宋_GB2312"/>
          <w:bCs/>
          <w:sz w:val="32"/>
          <w:szCs w:val="32"/>
        </w:rPr>
        <w:t>机构规格相当于副科级，核定编制人员9名，实有工作人员6名</w:t>
      </w:r>
      <w:r>
        <w:rPr>
          <w:rFonts w:ascii="仿宋_GB2312" w:hAnsi="仿宋_GB2312" w:eastAsia="仿宋_GB2312" w:cs="仿宋_GB2312"/>
          <w:bCs/>
          <w:sz w:val="32"/>
          <w:szCs w:val="32"/>
        </w:rPr>
        <w:t>，经费供给方式为示范区财政全额拨付。</w:t>
      </w:r>
    </w:p>
    <w:p>
      <w:pPr>
        <w:numPr>
          <w:ilvl w:val="0"/>
          <w:numId w:val="2"/>
        </w:numPr>
        <w:kinsoku w:val="0"/>
        <w:overflowPunct w:val="0"/>
        <w:adjustRightInd w:val="0"/>
        <w:snapToGrid w:val="0"/>
        <w:spacing w:line="360" w:lineRule="auto"/>
        <w:ind w:right="3569" w:firstLine="622"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部门职责</w:t>
      </w:r>
    </w:p>
    <w:p>
      <w:pPr>
        <w:spacing w:line="360" w:lineRule="auto"/>
        <w:ind w:firstLine="622" w:firstLineChars="200"/>
        <w:rPr>
          <w:rFonts w:ascii="仿宋_GB2312" w:hAnsi="仿宋_GB2312" w:eastAsia="仿宋_GB2312" w:cs="仿宋_GB2312"/>
          <w:bCs/>
          <w:sz w:val="32"/>
          <w:szCs w:val="32"/>
        </w:rPr>
      </w:pPr>
      <w:r>
        <w:rPr>
          <w:rFonts w:hint="eastAsia" w:ascii="仿宋_GB2312" w:hAnsi="仿宋_GB2312" w:eastAsia="仿宋_GB2312"/>
          <w:sz w:val="32"/>
        </w:rPr>
        <w:t>负责人才引进交流、人事代理、职业介绍、人力资源市场管理；负责社区和农村劳动保障平台建设，重点做好失地农民就业服务和职业技能培训工作，同时负责劳动保障监察工作。</w:t>
      </w:r>
    </w:p>
    <w:p>
      <w:pPr>
        <w:numPr>
          <w:ilvl w:val="0"/>
          <w:numId w:val="1"/>
        </w:numPr>
        <w:kinsoku w:val="0"/>
        <w:overflowPunct w:val="0"/>
        <w:adjustRightInd w:val="0"/>
        <w:snapToGrid w:val="0"/>
        <w:spacing w:line="360" w:lineRule="auto"/>
        <w:ind w:right="5" w:firstLine="622"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人力资源服务中心预算单位构成</w:t>
      </w:r>
    </w:p>
    <w:p>
      <w:pPr>
        <w:kinsoku w:val="0"/>
        <w:overflowPunct w:val="0"/>
        <w:adjustRightInd w:val="0"/>
        <w:snapToGrid w:val="0"/>
        <w:spacing w:line="360" w:lineRule="auto"/>
        <w:ind w:left="402" w:leftChars="200" w:right="5"/>
        <w:outlineLvl w:val="0"/>
        <w:rPr>
          <w:rFonts w:ascii="仿宋_GB2312" w:hAnsi="仿宋_GB2312" w:eastAsia="仿宋_GB2312" w:cs="仿宋_GB2312"/>
          <w:sz w:val="32"/>
          <w:szCs w:val="32"/>
        </w:rPr>
      </w:pPr>
      <w:r>
        <w:rPr>
          <w:rFonts w:hint="eastAsia" w:ascii="仿宋_GB2312" w:hAnsi="仿宋_GB2312" w:eastAsia="仿宋_GB2312" w:cs="仿宋_GB2312"/>
          <w:bCs/>
          <w:sz w:val="32"/>
          <w:szCs w:val="32"/>
        </w:rPr>
        <w:t>隶属于焦作市城乡一体化示范区组织人力资源社会保障局领导。</w:t>
      </w:r>
    </w:p>
    <w:p>
      <w:pPr>
        <w:widowControl/>
        <w:shd w:val="clear" w:color="auto" w:fill="FFFFFF"/>
        <w:spacing w:line="450" w:lineRule="atLeast"/>
        <w:ind w:firstLine="3427" w:firstLineChars="1102"/>
        <w:jc w:val="left"/>
        <w:rPr>
          <w:rFonts w:ascii="仿宋_GB2312" w:hAnsi="仿宋_GB2312" w:eastAsia="仿宋_GB2312" w:cs="仿宋_GB2312"/>
          <w:sz w:val="32"/>
          <w:szCs w:val="32"/>
        </w:rPr>
      </w:pPr>
    </w:p>
    <w:p>
      <w:pPr>
        <w:widowControl/>
        <w:shd w:val="clear" w:color="auto" w:fill="FFFFFF"/>
        <w:spacing w:line="450" w:lineRule="atLeast"/>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第二部分</w:t>
      </w:r>
    </w:p>
    <w:p>
      <w:pPr>
        <w:widowControl/>
        <w:shd w:val="clear" w:color="auto" w:fill="FFFFFF"/>
        <w:spacing w:line="450" w:lineRule="atLeast"/>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人力资源服务中心2018年度部门预算情况说明</w:t>
      </w:r>
    </w:p>
    <w:p>
      <w:pPr>
        <w:adjustRightInd w:val="0"/>
        <w:snapToGrid w:val="0"/>
        <w:spacing w:line="360" w:lineRule="auto"/>
        <w:ind w:firstLine="622" w:firstLineChars="200"/>
        <w:outlineLvl w:val="0"/>
        <w:rPr>
          <w:rFonts w:ascii="仿宋_GB2312" w:hAnsi="仿宋_GB2312" w:eastAsia="仿宋_GB2312" w:cs="仿宋_GB2312"/>
          <w:sz w:val="32"/>
          <w:szCs w:val="32"/>
        </w:rPr>
      </w:pPr>
    </w:p>
    <w:p>
      <w:pPr>
        <w:adjustRightInd w:val="0"/>
        <w:snapToGrid w:val="0"/>
        <w:spacing w:line="360" w:lineRule="auto"/>
        <w:ind w:firstLine="622"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一、收入支出预算总体情况说明</w:t>
      </w:r>
    </w:p>
    <w:p>
      <w:pPr>
        <w:adjustRightInd w:val="0"/>
        <w:snapToGrid w:val="0"/>
        <w:spacing w:line="360" w:lineRule="auto"/>
        <w:ind w:firstLine="622" w:firstLineChars="200"/>
        <w:rPr>
          <w:rFonts w:ascii="Arial" w:hAnsi="Arial" w:eastAsia="仿宋_GB2312" w:cs="Arial"/>
          <w:sz w:val="32"/>
          <w:szCs w:val="32"/>
        </w:rPr>
      </w:pPr>
      <w:r>
        <w:rPr>
          <w:rFonts w:hint="eastAsia" w:ascii="仿宋_GB2312" w:hAnsi="仿宋_GB2312" w:eastAsia="仿宋_GB2312" w:cs="仿宋_GB2312"/>
          <w:sz w:val="32"/>
          <w:szCs w:val="32"/>
        </w:rPr>
        <w:t>人力资源服务中心2018年收入99.75万元，支出总计99.75万元，与2017年相比，收、支总计各减少31.3万元，减少23.88%。主要原因：我区“三类特岗”人员由22名减少为12名，所需经费减少。</w:t>
      </w:r>
      <w:r>
        <w:rPr>
          <w:rFonts w:hint="eastAsia" w:ascii="Arial" w:hAnsi="Arial" w:eastAsia="仿宋_GB2312" w:cs="Arial"/>
          <w:sz w:val="32"/>
          <w:szCs w:val="32"/>
        </w:rPr>
        <w:t xml:space="preserve">  </w:t>
      </w:r>
    </w:p>
    <w:p>
      <w:pPr>
        <w:adjustRightInd w:val="0"/>
        <w:snapToGrid w:val="0"/>
        <w:spacing w:line="360" w:lineRule="auto"/>
        <w:ind w:firstLine="622"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二、收入预算总体情况说明</w:t>
      </w:r>
    </w:p>
    <w:p>
      <w:pPr>
        <w:widowControl/>
        <w:shd w:val="clear" w:color="auto" w:fill="FFFFFF"/>
        <w:spacing w:line="360" w:lineRule="auto"/>
        <w:ind w:firstLine="640"/>
        <w:jc w:val="left"/>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人力资源服务中心2018年收入合计99.75万元，其中：一般公共预算收入99.75万元; 政府性基金预算收入0万元；国有资本经营预算收入0</w:t>
      </w:r>
      <w:r>
        <w:rPr>
          <w:rFonts w:hint="eastAsia" w:ascii="Arial" w:hAnsi="Arial" w:eastAsia="仿宋_GB2312" w:cs="Arial"/>
          <w:sz w:val="32"/>
          <w:szCs w:val="32"/>
        </w:rPr>
        <w:t>万元；其他收入</w:t>
      </w:r>
      <w:r>
        <w:rPr>
          <w:rFonts w:hint="eastAsia" w:ascii="仿宋_GB2312" w:hAnsi="仿宋_GB2312" w:eastAsia="仿宋_GB2312" w:cs="仿宋_GB2312"/>
          <w:sz w:val="32"/>
          <w:szCs w:val="32"/>
        </w:rPr>
        <w:t>0万</w:t>
      </w:r>
      <w:r>
        <w:rPr>
          <w:rFonts w:hint="eastAsia" w:ascii="Arial" w:hAnsi="Arial" w:eastAsia="仿宋_GB2312" w:cs="Arial"/>
          <w:sz w:val="32"/>
          <w:szCs w:val="32"/>
        </w:rPr>
        <w:t>元。</w:t>
      </w:r>
      <w:r>
        <w:rPr>
          <w:rFonts w:hint="eastAsia" w:ascii="仿宋_GB2312" w:hAnsi="仿宋_GB2312" w:eastAsia="仿宋_GB2312" w:cs="仿宋_GB2312"/>
          <w:color w:val="FF0000"/>
          <w:sz w:val="32"/>
          <w:szCs w:val="32"/>
        </w:rPr>
        <w:t xml:space="preserve"> </w:t>
      </w:r>
    </w:p>
    <w:p>
      <w:pPr>
        <w:spacing w:line="360" w:lineRule="auto"/>
        <w:ind w:firstLine="622"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三、支出预算总体情况说明</w:t>
      </w:r>
    </w:p>
    <w:p>
      <w:pPr>
        <w:spacing w:line="360" w:lineRule="auto"/>
        <w:ind w:firstLine="622" w:firstLineChars="200"/>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人力资源服务中心2018年支出合计99.75万元，其中：基本支出57.75万元，占57.89</w:t>
      </w:r>
      <w:r>
        <w:rPr>
          <w:rFonts w:hint="eastAsia" w:ascii="Arial" w:hAnsi="Arial" w:eastAsia="仿宋_GB2312" w:cs="Arial"/>
          <w:sz w:val="32"/>
          <w:szCs w:val="32"/>
        </w:rPr>
        <w:t>%</w:t>
      </w:r>
      <w:r>
        <w:rPr>
          <w:rFonts w:hint="eastAsia" w:ascii="仿宋_GB2312" w:hAnsi="仿宋_GB2312" w:eastAsia="仿宋_GB2312" w:cs="仿宋_GB2312"/>
          <w:sz w:val="32"/>
          <w:szCs w:val="32"/>
        </w:rPr>
        <w:t>；项目支出42万元，占42.11%。</w:t>
      </w:r>
      <w:r>
        <w:rPr>
          <w:rFonts w:hint="eastAsia" w:ascii="仿宋_GB2312" w:hAnsi="仿宋_GB2312" w:eastAsia="仿宋_GB2312" w:cs="仿宋_GB2312"/>
          <w:color w:val="FF0000"/>
          <w:sz w:val="32"/>
          <w:szCs w:val="32"/>
        </w:rPr>
        <w:t xml:space="preserve"> </w:t>
      </w:r>
    </w:p>
    <w:p>
      <w:pPr>
        <w:spacing w:line="360" w:lineRule="auto"/>
        <w:ind w:firstLine="622"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四、财政拨款收入支出预算总体情况说明</w:t>
      </w:r>
    </w:p>
    <w:p>
      <w:pPr>
        <w:spacing w:line="360" w:lineRule="auto"/>
        <w:ind w:firstLine="622"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人力资源服务中心2018年一般公共预算收支预算99.75万元。政府性基金收支预算0</w:t>
      </w:r>
      <w:r>
        <w:rPr>
          <w:rFonts w:hint="eastAsia" w:ascii="Arial" w:hAnsi="Arial" w:eastAsia="仿宋_GB2312" w:cs="Arial"/>
          <w:sz w:val="32"/>
          <w:szCs w:val="32"/>
        </w:rPr>
        <w:t>万元，</w:t>
      </w:r>
      <w:r>
        <w:rPr>
          <w:rFonts w:hint="eastAsia" w:ascii="仿宋_GB2312" w:hAnsi="仿宋_GB2312" w:eastAsia="仿宋_GB2312" w:cs="仿宋_GB2312"/>
          <w:sz w:val="32"/>
          <w:szCs w:val="32"/>
        </w:rPr>
        <w:t>与 2017年相比，一般公共预算收支预算减少31.3万元，下降23.88%，主要原因：我区“三类特岗”人员由22名减少为12名，所需经费减少</w:t>
      </w:r>
      <w:r>
        <w:rPr>
          <w:rFonts w:hint="eastAsia" w:ascii="Arial" w:hAnsi="Arial" w:eastAsia="仿宋_GB2312" w:cs="Arial"/>
          <w:sz w:val="32"/>
          <w:szCs w:val="32"/>
        </w:rPr>
        <w:t>；</w:t>
      </w:r>
      <w:r>
        <w:rPr>
          <w:rFonts w:hint="eastAsia" w:ascii="仿宋_GB2312" w:hAnsi="仿宋_GB2312" w:eastAsia="仿宋_GB2312" w:cs="仿宋_GB2312"/>
          <w:sz w:val="32"/>
          <w:szCs w:val="32"/>
        </w:rPr>
        <w:t>政府性基金收支增加0</w:t>
      </w:r>
      <w:r>
        <w:rPr>
          <w:rFonts w:hint="eastAsia" w:ascii="Arial" w:hAnsi="Arial" w:eastAsia="仿宋_GB2312" w:cs="Arial"/>
          <w:sz w:val="32"/>
          <w:szCs w:val="32"/>
        </w:rPr>
        <w:t>万元，无增长，</w:t>
      </w:r>
      <w:r>
        <w:rPr>
          <w:rFonts w:hint="eastAsia" w:ascii="仿宋_GB2312" w:hAnsi="仿宋_GB2312" w:eastAsia="仿宋_GB2312" w:cs="仿宋_GB2312"/>
          <w:sz w:val="32"/>
          <w:szCs w:val="32"/>
        </w:rPr>
        <w:t>主要原因：</w:t>
      </w:r>
      <w:r>
        <w:rPr>
          <w:rFonts w:hint="eastAsia" w:ascii="Arial" w:hAnsi="Arial" w:eastAsia="仿宋_GB2312" w:cs="Arial"/>
          <w:sz w:val="32"/>
          <w:szCs w:val="32"/>
        </w:rPr>
        <w:t>我部门无政府性基金收支。</w:t>
      </w:r>
    </w:p>
    <w:p>
      <w:pPr>
        <w:spacing w:line="360" w:lineRule="auto"/>
        <w:ind w:firstLine="622"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五、一般公共预算支出预算情况说明</w:t>
      </w:r>
    </w:p>
    <w:p>
      <w:pPr>
        <w:widowControl/>
        <w:spacing w:line="360" w:lineRule="auto"/>
        <w:ind w:firstLine="622"/>
        <w:jc w:val="left"/>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人力资源服务中心2018年一般公共预算支出年初预算为99.75万元。主要用于以下方面：</w:t>
      </w:r>
      <w:r>
        <w:rPr>
          <w:rFonts w:hint="eastAsia" w:ascii="仿宋_GB2312" w:hAnsi="仿宋_GB2312" w:eastAsia="仿宋_GB2312" w:cs="仿宋_GB2312"/>
          <w:kern w:val="0"/>
          <w:sz w:val="32"/>
          <w:szCs w:val="32"/>
        </w:rPr>
        <w:t>一般公共服务支出99.75万元，占100%</w:t>
      </w:r>
      <w:r>
        <w:rPr>
          <w:rFonts w:hint="eastAsia" w:ascii="仿宋_GB2312" w:hAnsi="仿宋_GB2312" w:eastAsia="仿宋_GB2312" w:cs="仿宋_GB2312"/>
          <w:kern w:val="0"/>
          <w:sz w:val="32"/>
          <w:szCs w:val="32"/>
          <w:lang w:eastAsia="zh-CN"/>
        </w:rPr>
        <w:t>。</w:t>
      </w:r>
    </w:p>
    <w:p>
      <w:pPr>
        <w:spacing w:line="360" w:lineRule="auto"/>
        <w:ind w:firstLine="622" w:firstLineChars="200"/>
        <w:outlineLvl w:val="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六、一般公共预算基本支出预算情况说明</w:t>
      </w:r>
    </w:p>
    <w:p>
      <w:pPr>
        <w:widowControl/>
        <w:spacing w:line="360" w:lineRule="auto"/>
        <w:ind w:firstLine="622"/>
        <w:jc w:val="left"/>
        <w:rPr>
          <w:rFonts w:ascii="仿宋_GB2312" w:hAnsi="仿宋_GB2312" w:eastAsia="仿宋_GB2312" w:cs="仿宋_GB2312"/>
          <w:color w:val="FF0000"/>
          <w:kern w:val="0"/>
          <w:sz w:val="32"/>
          <w:szCs w:val="32"/>
        </w:rPr>
      </w:pPr>
      <w:r>
        <w:rPr>
          <w:rFonts w:hint="eastAsia" w:ascii="仿宋_GB2312" w:hAnsi="仿宋_GB2312" w:eastAsia="仿宋_GB2312" w:cs="仿宋_GB2312"/>
          <w:sz w:val="32"/>
          <w:szCs w:val="32"/>
        </w:rPr>
        <w:t>人力资源服务中心2018年一般公共预算基本支出57.75万元，其中：</w:t>
      </w:r>
      <w:r>
        <w:rPr>
          <w:rFonts w:hint="eastAsia" w:ascii="仿宋_GB2312" w:hAnsi="仿宋_GB2312" w:eastAsia="仿宋_GB2312" w:cs="仿宋_GB2312"/>
          <w:b/>
          <w:spacing w:val="-1"/>
          <w:kern w:val="0"/>
          <w:sz w:val="32"/>
          <w:szCs w:val="32"/>
        </w:rPr>
        <w:t>人员经费55.81</w:t>
      </w:r>
      <w:r>
        <w:rPr>
          <w:rFonts w:hint="eastAsia" w:ascii="仿宋_GB2312" w:hAnsi="仿宋_GB2312" w:eastAsia="仿宋_GB2312" w:cs="仿宋_GB2312"/>
          <w:b/>
          <w:sz w:val="32"/>
          <w:szCs w:val="32"/>
        </w:rPr>
        <w:t>万元</w:t>
      </w:r>
      <w:r>
        <w:rPr>
          <w:rFonts w:hint="eastAsia" w:ascii="仿宋_GB2312" w:hAnsi="仿宋_GB2312" w:eastAsia="仿宋_GB2312" w:cs="仿宋_GB2312"/>
          <w:sz w:val="32"/>
          <w:szCs w:val="32"/>
        </w:rPr>
        <w:t>，</w:t>
      </w:r>
      <w:r>
        <w:rPr>
          <w:rFonts w:hint="eastAsia" w:ascii="仿宋_GB2312" w:hAnsi="仿宋_GB2312" w:eastAsia="仿宋_GB2312" w:cs="仿宋_GB2312"/>
          <w:kern w:val="0"/>
          <w:sz w:val="32"/>
          <w:szCs w:val="32"/>
        </w:rPr>
        <w:t>基本工资、津贴补贴、奖金、绩效工资、机关事业单位基本养老保险缴费、职业年金缴费、医疗保险缴费、其他社会保障缴费、住房公积金、其他工资福利支出、离休费、退休费、其他对个人和家庭的补助支出；</w:t>
      </w:r>
      <w:r>
        <w:rPr>
          <w:rFonts w:hint="eastAsia" w:ascii="仿宋_GB2312" w:hAnsi="仿宋_GB2312" w:eastAsia="仿宋_GB2312" w:cs="仿宋_GB2312"/>
          <w:b/>
          <w:bCs/>
          <w:kern w:val="0"/>
          <w:sz w:val="32"/>
          <w:szCs w:val="32"/>
        </w:rPr>
        <w:t>公用经费1.94万元</w:t>
      </w:r>
      <w:r>
        <w:rPr>
          <w:rFonts w:hint="eastAsia" w:ascii="仿宋_GB2312" w:hAnsi="仿宋_GB2312" w:eastAsia="仿宋_GB2312" w:cs="仿宋_GB2312"/>
          <w:kern w:val="0"/>
          <w:sz w:val="32"/>
          <w:szCs w:val="32"/>
        </w:rPr>
        <w:t>，主要包括：办公费、印刷费、咨询费、手续费、水费、电费、邮电费、取暖费、物业管理费、差旅费、因公出国（境）费、维修（护）费、租赁费、会议费、培训费、公务接待费、专用材料费、专用燃料费、劳务费、委托业务费、福利费、公务用车运行维护费、其他交通费用、税金及附加费用、其他商品和服务支出、债务利息、办公设备购置、专用设备购置、基础设施建设、大型修缮、信息网络及软件购置更新、公务用车购置、其他资本性支出和其他支出。</w:t>
      </w:r>
    </w:p>
    <w:p>
      <w:pPr>
        <w:spacing w:line="360" w:lineRule="auto"/>
        <w:ind w:firstLine="622" w:firstLineChars="200"/>
        <w:outlineLvl w:val="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七、政府性基金预算支出预算情况说明</w:t>
      </w:r>
    </w:p>
    <w:p>
      <w:pPr>
        <w:spacing w:line="360" w:lineRule="auto"/>
        <w:ind w:firstLine="622"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我单位2018年没有使用政府性基金预算拨款安排的支出。</w:t>
      </w:r>
    </w:p>
    <w:p>
      <w:pPr>
        <w:spacing w:line="360" w:lineRule="auto"/>
        <w:ind w:firstLine="622" w:firstLineChars="200"/>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八、</w:t>
      </w:r>
      <w:r>
        <w:rPr>
          <w:rFonts w:hint="eastAsia" w:ascii="仿宋_GB2312" w:hAnsi="仿宋_GB2312" w:eastAsia="仿宋_GB2312" w:cs="仿宋_GB2312"/>
          <w:kern w:val="0"/>
          <w:sz w:val="32"/>
          <w:szCs w:val="32"/>
        </w:rPr>
        <w:t>国有资本经营预算支出预算情况说明</w:t>
      </w:r>
    </w:p>
    <w:p>
      <w:pPr>
        <w:spacing w:line="360" w:lineRule="auto"/>
        <w:ind w:firstLine="622" w:firstLineChars="200"/>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我单位2018年没有使用国有资本经营预算拨款安排的支出。</w:t>
      </w:r>
    </w:p>
    <w:p>
      <w:pPr>
        <w:spacing w:line="360" w:lineRule="auto"/>
        <w:ind w:firstLine="622" w:firstLineChars="200"/>
        <w:outlineLvl w:val="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九、“三公”经费支出预算情况说明</w:t>
      </w:r>
    </w:p>
    <w:p>
      <w:pPr>
        <w:widowControl/>
        <w:spacing w:line="360" w:lineRule="auto"/>
        <w:ind w:firstLine="622"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人力资源服务中心2018 年“三公”经费预算为1.95万元。 比 2017年预算数减少0.33万元，下降14.47</w:t>
      </w:r>
      <w:r>
        <w:rPr>
          <w:rFonts w:hint="eastAsia" w:ascii="仿宋_GB2312" w:hAnsi="仿宋_GB2312" w:eastAsia="仿宋_GB2312" w:cs="仿宋_GB2312"/>
          <w:kern w:val="0"/>
          <w:sz w:val="32"/>
          <w:szCs w:val="32"/>
        </w:rPr>
        <w:t>%</w:t>
      </w:r>
      <w:r>
        <w:rPr>
          <w:rFonts w:hint="eastAsia" w:ascii="仿宋_GB2312" w:hAnsi="仿宋_GB2312" w:eastAsia="仿宋_GB2312" w:cs="仿宋_GB2312"/>
          <w:sz w:val="32"/>
          <w:szCs w:val="32"/>
        </w:rPr>
        <w:t>。</w:t>
      </w:r>
    </w:p>
    <w:p>
      <w:pPr>
        <w:kinsoku w:val="0"/>
        <w:overflowPunct w:val="0"/>
        <w:autoSpaceDE w:val="0"/>
        <w:autoSpaceDN w:val="0"/>
        <w:adjustRightInd w:val="0"/>
        <w:snapToGrid w:val="0"/>
        <w:spacing w:line="360" w:lineRule="auto"/>
        <w:ind w:firstLine="622"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具体支出情况如下：</w:t>
      </w:r>
    </w:p>
    <w:p>
      <w:pPr>
        <w:numPr>
          <w:ilvl w:val="0"/>
          <w:numId w:val="3"/>
        </w:numPr>
        <w:kinsoku w:val="0"/>
        <w:overflowPunct w:val="0"/>
        <w:autoSpaceDE w:val="0"/>
        <w:autoSpaceDN w:val="0"/>
        <w:adjustRightInd w:val="0"/>
        <w:snapToGrid w:val="0"/>
        <w:spacing w:line="360" w:lineRule="auto"/>
        <w:ind w:firstLine="621" w:firstLineChars="200"/>
        <w:rPr>
          <w:rFonts w:ascii="仿宋_GB2312" w:hAnsi="仿宋_GB2312" w:eastAsia="仿宋_GB2312" w:cs="仿宋_GB2312"/>
          <w:sz w:val="32"/>
          <w:szCs w:val="32"/>
        </w:rPr>
      </w:pPr>
      <w:r>
        <w:rPr>
          <w:rFonts w:hint="eastAsia" w:ascii="仿宋_GB2312" w:hAnsi="仿宋_GB2312" w:eastAsia="仿宋_GB2312" w:cs="仿宋_GB2312"/>
          <w:b/>
          <w:spacing w:val="-1"/>
          <w:kern w:val="0"/>
          <w:sz w:val="32"/>
          <w:szCs w:val="32"/>
        </w:rPr>
        <w:t>因公出国（境）费0</w:t>
      </w:r>
      <w:r>
        <w:rPr>
          <w:rFonts w:hint="eastAsia" w:ascii="仿宋_GB2312" w:hAnsi="仿宋_GB2312" w:eastAsia="仿宋_GB2312" w:cs="仿宋_GB2312"/>
          <w:sz w:val="32"/>
          <w:szCs w:val="32"/>
        </w:rPr>
        <w:t>万元。预算数比2017年无变化</w:t>
      </w:r>
      <w:r>
        <w:rPr>
          <w:rFonts w:hint="eastAsia" w:ascii="仿宋_GB2312" w:hAnsi="仿宋_GB2312" w:eastAsia="仿宋_GB2312" w:cs="仿宋_GB2312"/>
          <w:kern w:val="0"/>
          <w:sz w:val="32"/>
          <w:szCs w:val="32"/>
        </w:rPr>
        <w:t>，主要原因：我部门无因公出国（境）费用。</w:t>
      </w:r>
    </w:p>
    <w:p>
      <w:pPr>
        <w:numPr>
          <w:ilvl w:val="0"/>
          <w:numId w:val="3"/>
        </w:numPr>
        <w:kinsoku w:val="0"/>
        <w:overflowPunct w:val="0"/>
        <w:autoSpaceDE w:val="0"/>
        <w:autoSpaceDN w:val="0"/>
        <w:adjustRightInd w:val="0"/>
        <w:snapToGrid w:val="0"/>
        <w:spacing w:line="360" w:lineRule="auto"/>
        <w:ind w:firstLine="621" w:firstLineChars="200"/>
        <w:rPr>
          <w:rFonts w:ascii="仿宋_GB2312" w:hAnsi="仿宋_GB2312" w:eastAsia="仿宋_GB2312" w:cs="仿宋_GB2312"/>
          <w:sz w:val="32"/>
          <w:szCs w:val="32"/>
        </w:rPr>
      </w:pPr>
      <w:r>
        <w:rPr>
          <w:rFonts w:hint="eastAsia" w:ascii="仿宋_GB2312" w:hAnsi="仿宋_GB2312" w:eastAsia="仿宋_GB2312" w:cs="仿宋_GB2312"/>
          <w:b/>
          <w:spacing w:val="-1"/>
          <w:kern w:val="0"/>
          <w:sz w:val="32"/>
          <w:szCs w:val="32"/>
        </w:rPr>
        <w:t>公务用车购置及运行费1.3</w:t>
      </w:r>
      <w:r>
        <w:rPr>
          <w:rFonts w:hint="eastAsia" w:ascii="仿宋_GB2312" w:hAnsi="仿宋_GB2312" w:eastAsia="仿宋_GB2312" w:cs="仿宋_GB2312"/>
          <w:kern w:val="0"/>
          <w:sz w:val="32"/>
          <w:szCs w:val="32"/>
        </w:rPr>
        <w:t>万</w:t>
      </w:r>
      <w:r>
        <w:rPr>
          <w:rFonts w:hint="eastAsia" w:ascii="仿宋_GB2312" w:hAnsi="仿宋_GB2312" w:eastAsia="仿宋_GB2312" w:cs="仿宋_GB2312"/>
          <w:sz w:val="32"/>
          <w:szCs w:val="32"/>
        </w:rPr>
        <w:t>元。其中公务车辆购置费0万元，</w:t>
      </w:r>
      <w:r>
        <w:rPr>
          <w:rFonts w:hint="eastAsia" w:ascii="仿宋_GB2312" w:hAnsi="仿宋_GB2312" w:eastAsia="仿宋_GB2312" w:cs="仿宋_GB2312"/>
          <w:kern w:val="0"/>
          <w:sz w:val="32"/>
          <w:szCs w:val="32"/>
        </w:rPr>
        <w:t>主要原因：我部门无公务车辆购置费用；</w:t>
      </w:r>
      <w:r>
        <w:rPr>
          <w:rFonts w:hint="eastAsia" w:ascii="仿宋_GB2312" w:hAnsi="仿宋_GB2312" w:eastAsia="仿宋_GB2312" w:cs="仿宋_GB2312"/>
          <w:sz w:val="32"/>
          <w:szCs w:val="32"/>
        </w:rPr>
        <w:t>公务用车运行维护费1.3</w:t>
      </w:r>
      <w:r>
        <w:rPr>
          <w:rFonts w:hint="eastAsia" w:ascii="仿宋_GB2312" w:hAnsi="仿宋_GB2312" w:eastAsia="仿宋_GB2312" w:cs="仿宋_GB2312"/>
          <w:kern w:val="0"/>
          <w:sz w:val="32"/>
          <w:szCs w:val="32"/>
        </w:rPr>
        <w:t>万元</w:t>
      </w:r>
      <w:r>
        <w:rPr>
          <w:rFonts w:hint="eastAsia" w:ascii="仿宋_GB2312" w:hAnsi="仿宋_GB2312" w:eastAsia="仿宋_GB2312" w:cs="仿宋_GB2312"/>
          <w:sz w:val="32"/>
          <w:szCs w:val="32"/>
        </w:rPr>
        <w:t>，主要用于公务用车燃料费、维修费、过桥过路费、保险费、安全奖励费用等，比2017年减少0</w:t>
      </w:r>
      <w:r>
        <w:rPr>
          <w:rFonts w:hint="eastAsia" w:ascii="仿宋_GB2312" w:hAnsi="仿宋_GB2312" w:eastAsia="仿宋_GB2312" w:cs="仿宋_GB2312"/>
          <w:kern w:val="0"/>
          <w:sz w:val="32"/>
          <w:szCs w:val="32"/>
        </w:rPr>
        <w:t>万元，较上年下降0%，主要原</w:t>
      </w:r>
      <w:r>
        <w:rPr>
          <w:rFonts w:hint="eastAsia" w:ascii="仿宋_GB2312" w:hAnsi="仿宋_GB2312" w:eastAsia="仿宋_GB2312" w:cs="仿宋_GB2312"/>
          <w:sz w:val="32"/>
          <w:szCs w:val="32"/>
        </w:rPr>
        <w:t>因：</w:t>
      </w:r>
      <w:r>
        <w:rPr>
          <w:rFonts w:ascii="仿宋_GB2312" w:hAnsi="仿宋_GB2312" w:eastAsia="仿宋_GB2312" w:cs="仿宋_GB2312"/>
          <w:sz w:val="32"/>
          <w:szCs w:val="32"/>
        </w:rPr>
        <w:t>根据往年公务用车费用情况，与2017年持平。</w:t>
      </w:r>
    </w:p>
    <w:p>
      <w:pPr>
        <w:spacing w:line="360" w:lineRule="auto"/>
        <w:ind w:firstLine="621" w:firstLineChars="200"/>
        <w:outlineLvl w:val="0"/>
        <w:rPr>
          <w:rFonts w:ascii="仿宋_GB2312" w:hAnsi="仿宋_GB2312" w:eastAsia="仿宋_GB2312" w:cs="仿宋_GB2312"/>
          <w:sz w:val="32"/>
          <w:szCs w:val="32"/>
        </w:rPr>
      </w:pPr>
      <w:r>
        <w:rPr>
          <w:rFonts w:hint="eastAsia" w:ascii="仿宋_GB2312" w:hAnsi="仿宋_GB2312" w:eastAsia="仿宋_GB2312" w:cs="仿宋_GB2312"/>
          <w:b/>
          <w:spacing w:val="-1"/>
          <w:kern w:val="0"/>
          <w:sz w:val="32"/>
          <w:szCs w:val="32"/>
        </w:rPr>
        <w:t>（三）公务接待费0.65</w:t>
      </w:r>
      <w:r>
        <w:rPr>
          <w:rFonts w:hint="eastAsia" w:ascii="仿宋_GB2312" w:hAnsi="仿宋_GB2312" w:eastAsia="仿宋_GB2312" w:cs="仿宋_GB2312"/>
          <w:sz w:val="32"/>
          <w:szCs w:val="32"/>
        </w:rPr>
        <w:t>万元，主要用于</w:t>
      </w:r>
      <w:r>
        <w:rPr>
          <w:rFonts w:hint="eastAsia" w:ascii="仿宋_GB2312" w:hAnsi="仿宋_GB2312" w:eastAsia="仿宋_GB2312" w:cs="仿宋_GB2312"/>
          <w:kern w:val="0"/>
          <w:sz w:val="32"/>
          <w:szCs w:val="32"/>
        </w:rPr>
        <w:t>单位各类公务接待费用，比2017年预算数减少0.33万元，下降33.67%，主要原因：</w:t>
      </w:r>
      <w:r>
        <w:rPr>
          <w:rFonts w:ascii="仿宋_GB2312" w:hAnsi="仿宋_GB2312" w:eastAsia="仿宋_GB2312" w:cs="仿宋_GB2312"/>
          <w:kern w:val="0"/>
          <w:sz w:val="32"/>
          <w:szCs w:val="32"/>
        </w:rPr>
        <w:t>深入贯彻中央“八项规定”精神等工作要求，大力压缩“三公”经费。</w:t>
      </w:r>
    </w:p>
    <w:p>
      <w:pPr>
        <w:kinsoku w:val="0"/>
        <w:overflowPunct w:val="0"/>
        <w:autoSpaceDE w:val="0"/>
        <w:autoSpaceDN w:val="0"/>
        <w:adjustRightInd w:val="0"/>
        <w:snapToGrid w:val="0"/>
        <w:spacing w:line="360" w:lineRule="auto"/>
        <w:ind w:firstLine="622" w:firstLineChars="200"/>
        <w:outlineLvl w:val="0"/>
        <w:rPr>
          <w:rFonts w:ascii="仿宋_GB2312" w:hAnsi="仿宋_GB2312" w:eastAsia="仿宋_GB2312" w:cs="仿宋_GB2312"/>
          <w:spacing w:val="-1"/>
          <w:kern w:val="0"/>
          <w:sz w:val="32"/>
          <w:szCs w:val="32"/>
        </w:rPr>
      </w:pP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spacing w:val="-1"/>
          <w:kern w:val="0"/>
          <w:sz w:val="32"/>
          <w:szCs w:val="32"/>
        </w:rPr>
        <w:t>十、其他重要事项的情况说明</w:t>
      </w:r>
    </w:p>
    <w:p>
      <w:pPr>
        <w:kinsoku w:val="0"/>
        <w:overflowPunct w:val="0"/>
        <w:autoSpaceDE w:val="0"/>
        <w:autoSpaceDN w:val="0"/>
        <w:adjustRightInd w:val="0"/>
        <w:snapToGrid w:val="0"/>
        <w:spacing w:line="360" w:lineRule="auto"/>
        <w:ind w:firstLine="927" w:firstLineChars="300"/>
        <w:outlineLvl w:val="0"/>
        <w:rPr>
          <w:rFonts w:ascii="仿宋_GB2312" w:hAnsi="仿宋_GB2312" w:eastAsia="仿宋_GB2312" w:cs="仿宋_GB2312"/>
          <w:spacing w:val="-1"/>
          <w:kern w:val="0"/>
          <w:sz w:val="32"/>
          <w:szCs w:val="32"/>
        </w:rPr>
      </w:pPr>
      <w:r>
        <w:rPr>
          <w:rFonts w:hint="eastAsia" w:ascii="仿宋_GB2312" w:hAnsi="仿宋_GB2312" w:eastAsia="仿宋_GB2312" w:cs="仿宋_GB2312"/>
          <w:spacing w:val="-1"/>
          <w:kern w:val="0"/>
          <w:sz w:val="32"/>
          <w:szCs w:val="32"/>
        </w:rPr>
        <w:t>无。</w:t>
      </w:r>
    </w:p>
    <w:p>
      <w:pPr>
        <w:kinsoku w:val="0"/>
        <w:overflowPunct w:val="0"/>
        <w:autoSpaceDE w:val="0"/>
        <w:autoSpaceDN w:val="0"/>
        <w:adjustRightInd w:val="0"/>
        <w:snapToGrid w:val="0"/>
        <w:spacing w:line="360" w:lineRule="auto"/>
        <w:ind w:firstLine="625" w:firstLineChars="200"/>
        <w:outlineLvl w:val="0"/>
        <w:rPr>
          <w:rFonts w:ascii="仿宋_GB2312" w:hAnsi="仿宋_GB2312" w:eastAsia="仿宋_GB2312" w:cs="仿宋_GB2312"/>
          <w:sz w:val="32"/>
          <w:szCs w:val="32"/>
        </w:rPr>
      </w:pPr>
      <w:r>
        <w:rPr>
          <w:rFonts w:hint="eastAsia" w:ascii="仿宋_GB2312" w:hAnsi="仿宋_GB2312" w:eastAsia="仿宋_GB2312" w:cs="仿宋_GB2312"/>
          <w:b/>
          <w:kern w:val="0"/>
          <w:sz w:val="32"/>
          <w:szCs w:val="32"/>
        </w:rPr>
        <w:t>（一）机关运行经费支出情况</w:t>
      </w:r>
    </w:p>
    <w:p>
      <w:pPr>
        <w:kinsoku w:val="0"/>
        <w:overflowPunct w:val="0"/>
        <w:autoSpaceDE w:val="0"/>
        <w:autoSpaceDN w:val="0"/>
        <w:adjustRightInd w:val="0"/>
        <w:snapToGrid w:val="0"/>
        <w:spacing w:line="360" w:lineRule="auto"/>
        <w:ind w:firstLine="622"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人力资源服务中心2018年机关运行经费支出预算1.94万元，主要保障机关机构正常运转及正常履职需要的办公费、水电费、物业费、维修费、差旅费等支出，比2017年减少1.92</w:t>
      </w:r>
      <w:r>
        <w:rPr>
          <w:rFonts w:hint="eastAsia" w:ascii="仿宋_GB2312" w:hAnsi="仿宋_GB2312" w:eastAsia="仿宋_GB2312" w:cs="仿宋_GB2312"/>
          <w:kern w:val="0"/>
          <w:sz w:val="32"/>
          <w:szCs w:val="32"/>
        </w:rPr>
        <w:t>万元，下降49.74%，主要原因：</w:t>
      </w:r>
      <w:r>
        <w:rPr>
          <w:rFonts w:ascii="仿宋_GB2312" w:hAnsi="仿宋_GB2312" w:eastAsia="仿宋_GB2312" w:cs="仿宋_GB2312"/>
          <w:kern w:val="0"/>
          <w:sz w:val="32"/>
          <w:szCs w:val="32"/>
        </w:rPr>
        <w:t>深入贯彻中央“八项规定”精神等工作要求，严格控制行政成本，大力压缩经费支出</w:t>
      </w:r>
      <w:r>
        <w:rPr>
          <w:rFonts w:hint="eastAsia" w:ascii="仿宋_GB2312" w:hAnsi="仿宋_GB2312" w:eastAsia="仿宋_GB2312" w:cs="仿宋_GB2312"/>
          <w:kern w:val="0"/>
          <w:sz w:val="32"/>
          <w:szCs w:val="32"/>
        </w:rPr>
        <w:t>。</w:t>
      </w:r>
    </w:p>
    <w:p>
      <w:pPr>
        <w:kinsoku w:val="0"/>
        <w:overflowPunct w:val="0"/>
        <w:autoSpaceDE w:val="0"/>
        <w:autoSpaceDN w:val="0"/>
        <w:adjustRightInd w:val="0"/>
        <w:snapToGrid w:val="0"/>
        <w:spacing w:line="360" w:lineRule="auto"/>
        <w:ind w:firstLine="625" w:firstLineChars="200"/>
        <w:outlineLvl w:val="0"/>
        <w:rPr>
          <w:rFonts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（二）政府采购支出情况</w:t>
      </w:r>
    </w:p>
    <w:p>
      <w:pPr>
        <w:kinsoku w:val="0"/>
        <w:overflowPunct w:val="0"/>
        <w:autoSpaceDE w:val="0"/>
        <w:autoSpaceDN w:val="0"/>
        <w:adjustRightInd w:val="0"/>
        <w:snapToGrid w:val="0"/>
        <w:spacing w:line="360" w:lineRule="auto"/>
        <w:ind w:firstLine="622"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2018年政府采购预算安排</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万元，其中：</w:t>
      </w:r>
      <w:r>
        <w:rPr>
          <w:rFonts w:hint="eastAsia" w:ascii="仿宋_GB2312" w:hAnsi="仿宋_GB2312" w:eastAsia="仿宋_GB2312" w:cs="仿宋_GB2312"/>
          <w:kern w:val="0"/>
          <w:sz w:val="32"/>
          <w:szCs w:val="32"/>
        </w:rPr>
        <w:t>政府采购货物预算0万元、政府采购工程预算0万元、政府采购服务预算0万元。</w:t>
      </w:r>
    </w:p>
    <w:p>
      <w:pPr>
        <w:kinsoku w:val="0"/>
        <w:overflowPunct w:val="0"/>
        <w:autoSpaceDE w:val="0"/>
        <w:autoSpaceDN w:val="0"/>
        <w:adjustRightInd w:val="0"/>
        <w:snapToGrid w:val="0"/>
        <w:spacing w:line="360" w:lineRule="auto"/>
        <w:ind w:firstLine="625" w:firstLineChars="200"/>
        <w:outlineLvl w:val="0"/>
        <w:rPr>
          <w:rFonts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（三）关于预算绩效管理工作开展情况说明</w:t>
      </w:r>
    </w:p>
    <w:p>
      <w:pPr>
        <w:spacing w:line="360" w:lineRule="auto"/>
        <w:ind w:firstLine="622"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2017年,我部门对</w:t>
      </w:r>
      <w:r>
        <w:rPr>
          <w:rFonts w:hAnsi="仿宋_GB2312" w:eastAsia="仿宋_GB2312" w:cs="仿宋_GB2312"/>
          <w:sz w:val="32"/>
          <w:szCs w:val="32"/>
        </w:rPr>
        <w:t>1</w:t>
      </w:r>
      <w:r>
        <w:rPr>
          <w:rFonts w:hint="eastAsia" w:ascii="仿宋_GB2312" w:hAnsi="仿宋_GB2312" w:eastAsia="仿宋_GB2312" w:cs="仿宋_GB2312"/>
          <w:sz w:val="32"/>
          <w:szCs w:val="32"/>
        </w:rPr>
        <w:t>个项目进行了预算绩效评价，涉及资金</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万元。</w:t>
      </w:r>
      <w:r>
        <w:rPr>
          <w:rFonts w:hint="eastAsia"/>
          <w:sz w:val="28"/>
          <w:szCs w:val="28"/>
        </w:rPr>
        <w:t xml:space="preserve"> </w:t>
      </w:r>
      <w:r>
        <w:rPr>
          <w:rFonts w:hint="eastAsia" w:ascii="仿宋_GB2312" w:hAnsi="仿宋_GB2312" w:eastAsia="仿宋_GB2312" w:cs="仿宋_GB2312"/>
          <w:sz w:val="32"/>
          <w:szCs w:val="32"/>
        </w:rPr>
        <w:t>2018年，我部门纳入预算绩效管理的支出总额为</w:t>
      </w:r>
      <w:r>
        <w:rPr>
          <w:rFonts w:hint="eastAsia" w:ascii="宋体" w:hAnsi="宋体"/>
          <w:kern w:val="0"/>
          <w:sz w:val="24"/>
          <w:szCs w:val="24"/>
        </w:rPr>
        <w:t xml:space="preserve"> </w:t>
      </w:r>
      <w:r>
        <w:rPr>
          <w:rFonts w:ascii="仿宋_GB2312" w:hAnsi="仿宋_GB2312" w:eastAsia="仿宋_GB2312" w:cs="仿宋_GB2312"/>
          <w:sz w:val="32"/>
          <w:szCs w:val="32"/>
        </w:rPr>
        <w:t>99.75</w:t>
      </w:r>
      <w:r>
        <w:rPr>
          <w:rFonts w:hint="eastAsia" w:ascii="仿宋_GB2312" w:hAnsi="仿宋_GB2312" w:eastAsia="仿宋_GB2312" w:cs="仿宋_GB2312"/>
          <w:sz w:val="32"/>
          <w:szCs w:val="32"/>
        </w:rPr>
        <w:t>万元，其中人员经费支出</w:t>
      </w:r>
      <w:r>
        <w:rPr>
          <w:rFonts w:ascii="仿宋_GB2312" w:hAnsi="仿宋_GB2312" w:eastAsia="仿宋_GB2312" w:cs="仿宋_GB2312"/>
          <w:sz w:val="32"/>
          <w:szCs w:val="32"/>
        </w:rPr>
        <w:t>55.81</w:t>
      </w:r>
      <w:r>
        <w:rPr>
          <w:rFonts w:hint="eastAsia" w:ascii="仿宋_GB2312" w:hAnsi="仿宋_GB2312" w:eastAsia="仿宋_GB2312" w:cs="仿宋_GB2312"/>
          <w:sz w:val="32"/>
          <w:szCs w:val="32"/>
        </w:rPr>
        <w:t>万元，公用经费支</w:t>
      </w:r>
      <w:r>
        <w:rPr>
          <w:rFonts w:ascii="仿宋_GB2312" w:hAnsi="仿宋_GB2312" w:cs="仿宋_GB2312"/>
          <w:sz w:val="32"/>
          <w:szCs w:val="32"/>
        </w:rPr>
        <w:t>出</w:t>
      </w:r>
      <w:r>
        <w:rPr>
          <w:rFonts w:ascii="仿宋_GB2312" w:hAnsi="仿宋_GB2312" w:eastAsia="仿宋_GB2312" w:cs="仿宋_GB2312"/>
          <w:sz w:val="32"/>
          <w:szCs w:val="32"/>
        </w:rPr>
        <w:t>1.94</w:t>
      </w:r>
      <w:r>
        <w:rPr>
          <w:rFonts w:hint="eastAsia" w:ascii="仿宋_GB2312" w:hAnsi="仿宋_GB2312" w:eastAsia="仿宋_GB2312" w:cs="仿宋_GB2312"/>
          <w:sz w:val="32"/>
          <w:szCs w:val="32"/>
        </w:rPr>
        <w:t>万元，支出项目共</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个，支出总额</w:t>
      </w:r>
      <w:r>
        <w:rPr>
          <w:rFonts w:ascii="仿宋_GB2312" w:hAnsi="仿宋_GB2312" w:eastAsia="仿宋_GB2312" w:cs="仿宋_GB2312"/>
          <w:sz w:val="32"/>
          <w:szCs w:val="32"/>
        </w:rPr>
        <w:t>42</w:t>
      </w:r>
      <w:r>
        <w:rPr>
          <w:rFonts w:hint="eastAsia" w:ascii="仿宋_GB2312" w:hAnsi="仿宋_GB2312" w:eastAsia="仿宋_GB2312" w:cs="仿宋_GB2312"/>
          <w:sz w:val="32"/>
          <w:szCs w:val="32"/>
        </w:rPr>
        <w:t>万元，其中预算支出100万元及100万元以上项目</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个，支出总额</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 xml:space="preserve">万元。 </w:t>
      </w:r>
    </w:p>
    <w:p>
      <w:pPr>
        <w:spacing w:line="360" w:lineRule="auto"/>
        <w:ind w:left="402" w:left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（四）国有资产占用情况</w:t>
      </w:r>
    </w:p>
    <w:p>
      <w:pPr>
        <w:kinsoku w:val="0"/>
        <w:overflowPunct w:val="0"/>
        <w:autoSpaceDE w:val="0"/>
        <w:autoSpaceDN w:val="0"/>
        <w:adjustRightInd w:val="0"/>
        <w:snapToGrid w:val="0"/>
        <w:spacing w:line="360" w:lineRule="auto"/>
        <w:ind w:firstLine="622"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2017年期末，人力资源服务中心固定资产总额2.20万元，其中，房屋建筑物0万元，车辆0万元。共有车辆0辆，其中：一般公务用车0辆，执法执勤车0辆；</w:t>
      </w:r>
      <w:r>
        <w:rPr>
          <w:rFonts w:hint="eastAsia" w:ascii="仿宋_GB2312" w:hAnsi="仿宋_GB2312" w:eastAsia="仿宋_GB2312" w:cs="仿宋_GB2312"/>
          <w:sz w:val="32"/>
          <w:szCs w:val="32"/>
        </w:rPr>
        <w:t>单价50万元以上通用设备</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台（套），单位价值100万元以上专用设备</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台（套）</w:t>
      </w:r>
      <w:r>
        <w:rPr>
          <w:rFonts w:hint="eastAsia" w:ascii="仿宋_GB2312" w:hAnsi="宋体" w:eastAsia="仿宋_GB2312" w:cs="仿宋_GB2312"/>
          <w:sz w:val="32"/>
          <w:szCs w:val="32"/>
        </w:rPr>
        <w:t>。</w:t>
      </w:r>
    </w:p>
    <w:p>
      <w:pPr>
        <w:widowControl/>
        <w:spacing w:line="360" w:lineRule="auto"/>
        <w:ind w:firstLine="625" w:firstLineChars="200"/>
        <w:jc w:val="left"/>
        <w:rPr>
          <w:rFonts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（五）关于预算部门构成说明</w:t>
      </w:r>
    </w:p>
    <w:p>
      <w:pPr>
        <w:kinsoku w:val="0"/>
        <w:overflowPunct w:val="0"/>
        <w:autoSpaceDE w:val="0"/>
        <w:autoSpaceDN w:val="0"/>
        <w:adjustRightInd w:val="0"/>
        <w:snapToGrid w:val="0"/>
        <w:spacing w:line="360" w:lineRule="auto"/>
        <w:ind w:firstLine="622"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2018年我单位按照市财政预算公开要求，将所属预算单位全部纳入预算公开范围。</w:t>
      </w:r>
    </w:p>
    <w:p>
      <w:pPr>
        <w:adjustRightInd w:val="0"/>
        <w:snapToGrid w:val="0"/>
        <w:spacing w:line="360" w:lineRule="auto"/>
        <w:jc w:val="center"/>
        <w:rPr>
          <w:rFonts w:ascii="仿宋_GB2312" w:hAnsi="仿宋_GB2312" w:eastAsia="仿宋_GB2312" w:cs="仿宋_GB2312"/>
          <w:bCs/>
          <w:sz w:val="32"/>
          <w:szCs w:val="32"/>
        </w:rPr>
      </w:pPr>
      <w:r>
        <w:rPr>
          <w:rFonts w:hint="eastAsia" w:ascii="仿宋_GB2312" w:hAnsi="仿宋_GB2312" w:eastAsia="仿宋_GB2312" w:cs="仿宋_GB2312"/>
          <w:bCs/>
          <w:sz w:val="32"/>
          <w:szCs w:val="32"/>
        </w:rPr>
        <w:t>第三部分 名词解释</w:t>
      </w:r>
    </w:p>
    <w:p>
      <w:pPr>
        <w:kinsoku w:val="0"/>
        <w:overflowPunct w:val="0"/>
        <w:autoSpaceDE w:val="0"/>
        <w:autoSpaceDN w:val="0"/>
        <w:adjustRightInd w:val="0"/>
        <w:snapToGrid w:val="0"/>
        <w:spacing w:line="360" w:lineRule="auto"/>
        <w:ind w:firstLine="622"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一、财政拨款收入：是指市级财政当年拨付的资金。</w:t>
      </w:r>
    </w:p>
    <w:p>
      <w:pPr>
        <w:kinsoku w:val="0"/>
        <w:overflowPunct w:val="0"/>
        <w:autoSpaceDE w:val="0"/>
        <w:autoSpaceDN w:val="0"/>
        <w:adjustRightInd w:val="0"/>
        <w:snapToGrid w:val="0"/>
        <w:spacing w:line="360" w:lineRule="auto"/>
        <w:ind w:firstLine="622"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二、事业收入：是指事业单位开展专业活动及辅助活动所取 得的收入。</w:t>
      </w:r>
    </w:p>
    <w:p>
      <w:pPr>
        <w:kinsoku w:val="0"/>
        <w:overflowPunct w:val="0"/>
        <w:autoSpaceDE w:val="0"/>
        <w:autoSpaceDN w:val="0"/>
        <w:adjustRightInd w:val="0"/>
        <w:snapToGrid w:val="0"/>
        <w:spacing w:line="360" w:lineRule="auto"/>
        <w:ind w:firstLine="622"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三、其他收入：是指部门取得的除“财政拨款”、“事业收入”、“事业单位经营收入”等以外的收入。 </w:t>
      </w:r>
    </w:p>
    <w:p>
      <w:pPr>
        <w:kinsoku w:val="0"/>
        <w:overflowPunct w:val="0"/>
        <w:autoSpaceDE w:val="0"/>
        <w:autoSpaceDN w:val="0"/>
        <w:adjustRightInd w:val="0"/>
        <w:snapToGrid w:val="0"/>
        <w:spacing w:line="360" w:lineRule="auto"/>
        <w:ind w:firstLine="622"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四、基本支出：是指为保障机构正常运转、完成日常工作任务所必需的开支，其内容包括人员经费和日常公用经费两部分。</w:t>
      </w:r>
    </w:p>
    <w:p>
      <w:pPr>
        <w:kinsoku w:val="0"/>
        <w:overflowPunct w:val="0"/>
        <w:autoSpaceDE w:val="0"/>
        <w:autoSpaceDN w:val="0"/>
        <w:adjustRightInd w:val="0"/>
        <w:snapToGrid w:val="0"/>
        <w:spacing w:line="360" w:lineRule="auto"/>
        <w:ind w:firstLine="622"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五、项目支出：是指在基本支出之外，为完成特定的行政工作任务或事业发展目标所发生的支出。</w:t>
      </w:r>
    </w:p>
    <w:p>
      <w:pPr>
        <w:kinsoku w:val="0"/>
        <w:overflowPunct w:val="0"/>
        <w:autoSpaceDE w:val="0"/>
        <w:autoSpaceDN w:val="0"/>
        <w:adjustRightInd w:val="0"/>
        <w:snapToGrid w:val="0"/>
        <w:spacing w:line="360" w:lineRule="auto"/>
        <w:ind w:firstLine="622"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三公”经费：是指纳入市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insoku w:val="0"/>
        <w:overflowPunct w:val="0"/>
        <w:autoSpaceDE w:val="0"/>
        <w:autoSpaceDN w:val="0"/>
        <w:adjustRightInd w:val="0"/>
        <w:snapToGrid w:val="0"/>
        <w:spacing w:line="360" w:lineRule="auto"/>
        <w:ind w:firstLine="622" w:firstLineChars="200"/>
        <w:rPr>
          <w:rFonts w:ascii="仿宋_GB2312" w:hAnsi="仿宋_GB2312" w:eastAsia="仿宋_GB2312" w:cs="仿宋_GB2312"/>
          <w:sz w:val="32"/>
          <w:szCs w:val="32"/>
        </w:rPr>
      </w:pPr>
      <w:r>
        <w:rPr>
          <w:rFonts w:hint="eastAsia" w:ascii="仿宋_GB2312" w:hAnsi="宋体" w:eastAsia="仿宋_GB2312" w:cs="Courier New"/>
          <w:sz w:val="32"/>
          <w:szCs w:val="32"/>
        </w:rPr>
        <w:t>七、机关运行经费：是指为保障行政</w:t>
      </w:r>
      <w:r>
        <w:rPr>
          <w:rFonts w:hint="eastAsia" w:ascii="仿宋_GB2312" w:hAnsi="仿宋_GB2312" w:eastAsia="仿宋_GB2312" w:cs="仿宋_GB2312"/>
          <w:sz w:val="32"/>
          <w:szCs w:val="32"/>
        </w:rPr>
        <w:t>机构正常运转及正常履职需要的办公费、水电费、日常维修、物业费、维修费、差旅费、</w:t>
      </w:r>
      <w:r>
        <w:rPr>
          <w:rFonts w:hint="eastAsia" w:ascii="仿宋_GB2312" w:hAnsi="宋体" w:eastAsia="仿宋_GB2312" w:cs="Courier New"/>
          <w:sz w:val="32"/>
          <w:szCs w:val="32"/>
        </w:rPr>
        <w:t>公务用车运行维护费以及其他费用</w:t>
      </w:r>
      <w:r>
        <w:rPr>
          <w:rFonts w:hint="eastAsia" w:ascii="仿宋_GB2312" w:hAnsi="仿宋_GB2312" w:eastAsia="仿宋_GB2312" w:cs="仿宋_GB2312"/>
          <w:sz w:val="32"/>
          <w:szCs w:val="32"/>
        </w:rPr>
        <w:t>等支出。</w:t>
      </w:r>
    </w:p>
    <w:p>
      <w:pPr>
        <w:kinsoku w:val="0"/>
        <w:overflowPunct w:val="0"/>
        <w:autoSpaceDE w:val="0"/>
        <w:autoSpaceDN w:val="0"/>
        <w:adjustRightInd w:val="0"/>
        <w:snapToGrid w:val="0"/>
        <w:spacing w:line="360" w:lineRule="auto"/>
        <w:ind w:firstLine="622" w:firstLineChars="200"/>
        <w:rPr>
          <w:rFonts w:ascii="仿宋_GB2312" w:hAnsi="仿宋_GB2312" w:eastAsia="仿宋_GB2312" w:cs="仿宋_GB2312"/>
          <w:sz w:val="32"/>
          <w:szCs w:val="32"/>
        </w:rPr>
      </w:pPr>
      <w:bookmarkStart w:id="0" w:name="_GoBack"/>
      <w:bookmarkEnd w:id="0"/>
      <w:r>
        <w:rPr>
          <w:rFonts w:hint="eastAsia" w:ascii="仿宋_GB2312" w:hAnsi="仿宋_GB2312" w:eastAsia="仿宋_GB2312" w:cs="仿宋_GB2312"/>
          <w:sz w:val="32"/>
          <w:szCs w:val="32"/>
        </w:rPr>
        <w:t xml:space="preserve">  </w:t>
      </w:r>
    </w:p>
    <w:p>
      <w:pPr>
        <w:adjustRightInd w:val="0"/>
        <w:snapToGrid w:val="0"/>
        <w:spacing w:line="360" w:lineRule="auto"/>
        <w:ind w:firstLine="622"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附件：人力资源服务中心2018年度部门预算表</w:t>
      </w:r>
    </w:p>
    <w:p>
      <w:pPr>
        <w:adjustRightInd w:val="0"/>
        <w:snapToGrid w:val="0"/>
        <w:spacing w:line="360" w:lineRule="auto"/>
        <w:ind w:firstLine="622" w:firstLineChars="200"/>
        <w:rPr>
          <w:rFonts w:ascii="仿宋_GB2312" w:hAnsi="仿宋_GB2312" w:eastAsia="仿宋_GB2312" w:cs="仿宋_GB2312"/>
          <w:sz w:val="32"/>
          <w:szCs w:val="32"/>
        </w:rPr>
      </w:pPr>
    </w:p>
    <w:p>
      <w:pPr>
        <w:adjustRightInd w:val="0"/>
        <w:snapToGrid w:val="0"/>
        <w:spacing w:line="360" w:lineRule="auto"/>
        <w:ind w:firstLine="622"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adjustRightInd w:val="0"/>
        <w:snapToGrid w:val="0"/>
        <w:spacing w:line="360" w:lineRule="auto"/>
        <w:ind w:firstLine="4976" w:firstLineChars="1600"/>
        <w:rPr>
          <w:rFonts w:ascii="仿宋_GB2312" w:hAnsi="仿宋_GB2312" w:eastAsia="仿宋_GB2312" w:cs="仿宋_GB2312"/>
        </w:rPr>
      </w:pPr>
      <w:r>
        <w:rPr>
          <w:rFonts w:hint="eastAsia" w:ascii="仿宋_GB2312" w:hAnsi="仿宋_GB2312" w:eastAsia="仿宋_GB2312" w:cs="仿宋_GB2312"/>
          <w:sz w:val="32"/>
          <w:szCs w:val="32"/>
        </w:rPr>
        <w:t xml:space="preserve"> 2018年</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日</w:t>
      </w:r>
    </w:p>
    <w:sectPr>
      <w:pgSz w:w="11906" w:h="16838"/>
      <w:pgMar w:top="2154" w:right="1474" w:bottom="1757" w:left="1587" w:header="851" w:footer="992" w:gutter="0"/>
      <w:cols w:space="0" w:num="1"/>
      <w:docGrid w:type="linesAndChars" w:linePitch="312" w:charSpace="-183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Calibri">
    <w:panose1 w:val="020F0502020204030204"/>
    <w:charset w:val="00"/>
    <w:family w:val="auto"/>
    <w:pitch w:val="default"/>
    <w:sig w:usb0="E0002AFF" w:usb1="C000247B" w:usb2="00000009" w:usb3="00000000" w:csb0="200001FF" w:csb1="00000000"/>
  </w:font>
  <w:font w:name="仿宋_GB2312">
    <w:altName w:val="仿宋"/>
    <w:panose1 w:val="00000000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Cambria">
    <w:panose1 w:val="02040503050406030204"/>
    <w:charset w:val="00"/>
    <w:family w:val="auto"/>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
    <w:nsid w:val="00000002"/>
    <w:multiLevelType w:val="singleLevel"/>
    <w:tmpl w:val="00000002"/>
    <w:lvl w:ilvl="0" w:tentative="1">
      <w:start w:val="1"/>
      <w:numFmt w:val="chineseCounting"/>
      <w:suff w:val="nothing"/>
      <w:lvlText w:val="（%1）"/>
      <w:lvlJc w:val="left"/>
    </w:lvl>
  </w:abstractNum>
  <w:abstractNum w:abstractNumId="1">
    <w:nsid w:val="00000001"/>
    <w:multiLevelType w:val="singleLevel"/>
    <w:tmpl w:val="00000001"/>
    <w:lvl w:ilvl="0" w:tentative="1">
      <w:start w:val="1"/>
      <w:numFmt w:val="chineseCounting"/>
      <w:suff w:val="nothing"/>
      <w:lvlText w:val="%1、"/>
      <w:lvlJc w:val="left"/>
    </w:lvl>
  </w:abstractNum>
  <w:abstractNum w:abstractNumId="1473516919">
    <w:nsid w:val="57D41577"/>
    <w:multiLevelType w:val="singleLevel"/>
    <w:tmpl w:val="57D41577"/>
    <w:lvl w:ilvl="0" w:tentative="1">
      <w:start w:val="1"/>
      <w:numFmt w:val="chineseCounting"/>
      <w:suff w:val="nothing"/>
      <w:lvlText w:val="（%1）"/>
      <w:lvlJc w:val="left"/>
      <w:rPr>
        <w:rFonts w:hint="eastAsia"/>
      </w:rPr>
    </w:lvl>
  </w:abstractNum>
  <w:num w:numId="1">
    <w:abstractNumId w:val="1"/>
  </w:num>
  <w:num w:numId="2">
    <w:abstractNumId w:val="1473516919"/>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1"/>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name="header"/>
    <w:lsdException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4">
    <w:name w:val="Default Paragraph Font"/>
    <w:semiHidden/>
    <w:unhideWhenUsed/>
    <w:uiPriority w:val="1"/>
  </w:style>
  <w:style w:type="paragraph" w:styleId="2">
    <w:name w:val="footer"/>
    <w:basedOn w:val="1"/>
    <w:link w:val="6"/>
    <w:semiHidden/>
    <w:unhideWhenUsed/>
    <w:uiPriority w:val="99"/>
    <w:pPr>
      <w:tabs>
        <w:tab w:val="center" w:pos="4153"/>
        <w:tab w:val="right" w:pos="8306"/>
      </w:tabs>
      <w:snapToGrid w:val="0"/>
      <w:jc w:val="left"/>
    </w:pPr>
    <w:rPr>
      <w:sz w:val="18"/>
      <w:szCs w:val="18"/>
    </w:rPr>
  </w:style>
  <w:style w:type="paragraph" w:styleId="3">
    <w:name w:val="header"/>
    <w:basedOn w:val="1"/>
    <w:link w:val="5"/>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5">
    <w:name w:val="页眉 Char Char"/>
    <w:basedOn w:val="4"/>
    <w:link w:val="3"/>
    <w:uiPriority w:val="99"/>
    <w:rPr>
      <w:rFonts w:ascii="Calibri" w:hAnsi="Calibri" w:cs="宋体"/>
      <w:kern w:val="2"/>
      <w:sz w:val="18"/>
      <w:szCs w:val="18"/>
    </w:rPr>
  </w:style>
  <w:style w:type="character" w:customStyle="1" w:styleId="6">
    <w:name w:val="页脚 Char Char"/>
    <w:basedOn w:val="4"/>
    <w:link w:val="2"/>
    <w:uiPriority w:val="99"/>
    <w:rPr>
      <w:rFonts w:ascii="Calibri" w:hAnsi="Calibri" w:cs="宋体"/>
      <w:kern w:val="2"/>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484</Words>
  <Characters>2761</Characters>
  <Lines>23</Lines>
  <Paragraphs>6</Paragraphs>
  <TotalTime>0</TotalTime>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2018-11-01T08:41:00Z</dcterms:created>
  <dc:creator>Administrator</dc:creator>
  <cp:lastModifiedBy>Lenovo</cp:lastModifiedBy>
  <cp:lastPrinted>2018-08-06T00:36:00Z</cp:lastPrinted>
  <dcterms:modified xsi:type="dcterms:W3CDTF">2018-11-02T01:09:04Z</dcterms:modified>
  <dc:title>附件1：</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