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sz w:val="52"/>
          <w:szCs w:val="52"/>
          <w:lang w:eastAsia="zh-CN"/>
        </w:rPr>
      </w:pPr>
      <w:r>
        <w:rPr>
          <w:rFonts w:hint="eastAsia" w:ascii="黑体" w:hAnsi="黑体" w:eastAsia="黑体"/>
          <w:sz w:val="52"/>
          <w:szCs w:val="52"/>
        </w:rPr>
        <w:t>焦作市</w:t>
      </w:r>
      <w:r>
        <w:rPr>
          <w:rFonts w:hint="eastAsia" w:ascii="黑体" w:hAnsi="黑体" w:eastAsia="黑体"/>
          <w:sz w:val="52"/>
          <w:szCs w:val="52"/>
          <w:lang w:eastAsia="zh-CN"/>
        </w:rPr>
        <w:t>城乡规划管理局</w:t>
      </w: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城乡一体化示范区</w:t>
      </w:r>
      <w:r>
        <w:rPr>
          <w:rFonts w:hint="eastAsia" w:ascii="黑体" w:hAnsi="黑体" w:eastAsia="黑体"/>
          <w:sz w:val="52"/>
          <w:szCs w:val="52"/>
          <w:lang w:eastAsia="zh-CN"/>
        </w:rPr>
        <w:t>分局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2018年度部门预算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3569"/>
        <w:rPr>
          <w:rFonts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  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第二部门  2018年预算情况说明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焦作市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城乡规划管理局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城乡一体化示范区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分局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3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机构设置情况</w:t>
      </w:r>
    </w:p>
    <w:p>
      <w:pPr>
        <w:spacing w:line="54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机构规格相当于正科级，经费形式为示范区财政全额拨款。实有人数10名，其中局长1人、副局长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副科级干部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1人、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科员7人。</w:t>
      </w:r>
    </w:p>
    <w:p>
      <w:pPr>
        <w:numPr>
          <w:ilvl w:val="0"/>
          <w:numId w:val="4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部门职责</w:t>
      </w:r>
    </w:p>
    <w:p>
      <w:pPr>
        <w:widowControl/>
        <w:shd w:val="clear" w:color="auto" w:fill="FFFFFF"/>
        <w:spacing w:line="450" w:lineRule="atLeast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负责编制示范区城乡建设统筹发展规划和详细规划并组织实施，组织区内大型建设项目规划设计任务的评审报批工作；负责对示范区内各类建设工程、管线工程办理核发《建设项目选址意见书》、《建设用地规划许可证》、《建设工程规划许可证》，并实施管理；负责城乡规划具体监察管理工作。</w:t>
      </w:r>
    </w:p>
    <w:p>
      <w:pPr>
        <w:numPr>
          <w:ilvl w:val="0"/>
          <w:numId w:val="5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规划分局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预算单位构成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0"/>
        <w:jc w:val="left"/>
        <w:outlineLvl w:val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规划分局为独立预算单位，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机构规格相当于正科级，经费形式为示范区财政全额拨款。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2018年度部门预算情况说明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Arial" w:hAnsi="Arial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667.23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667.23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年相比，收、支总计各增加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17.62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2.71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基本支出、项目支出增加，人员变动工资及保险调整等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。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二、收入预算总体情况说明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667.23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667.23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万元;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万元；其他收入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年支出合计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667.23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107.23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16.07%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560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83.93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667.23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政府性基金收支预算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年相比，一般公共预算收支预算增加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17.62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2.71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基本支出增加，人员变动工资及保险调整等。</w:t>
      </w:r>
    </w:p>
    <w:p>
      <w:pPr>
        <w:numPr>
          <w:ilvl w:val="0"/>
          <w:numId w:val="6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一般公共预算支出预算情况说明</w:t>
      </w:r>
    </w:p>
    <w:p>
      <w:pPr>
        <w:numPr>
          <w:ilvl w:val="0"/>
          <w:numId w:val="0"/>
        </w:numPr>
        <w:spacing w:line="560" w:lineRule="exact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规划分局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667.23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城乡社区支出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667.23万元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一般公共服务支出</w:t>
      </w:r>
      <w:r>
        <w:rPr>
          <w:rFonts w:hint="eastAsia" w:ascii="Arial" w:hAnsi="Arial" w:eastAsia="仿宋_GB2312" w:cs="Arial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万元；国防支出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万元；教育支出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万元；科学技术支出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万元；文化体育与传媒支出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万元；医疗卫生与计划生育支出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万元；农林水支出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万元；住房保障支出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107.23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102.11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基本工资、津贴补贴、奖金、绩效工资、机关事业单位基本养老保险缴费、职业年金缴费、医疗保险缴费、其他社会保障缴费、住房公积金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、工会经费、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福利费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5.12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，主要包括：办公费、水费、电费、邮电费、差旅费、培训费、公务接待费、公务用车运行维护费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2018年没有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使用政府性基金预算拨款安排的支出。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年没有使用政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国有资本经营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预算拨款安排的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32.38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具体支出情况如下：</w:t>
      </w:r>
    </w:p>
    <w:p>
      <w:pPr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0万元。</w:t>
      </w:r>
    </w:p>
    <w:p>
      <w:pPr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。其中公务车辆购置费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日常公务用车运行及维修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,比2017年减少（增减）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万元，较上年下降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2.63%，主要原因：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严格落实中央八项规定，大力压缩“三公”经费。</w:t>
      </w:r>
    </w:p>
    <w:p>
      <w:pPr>
        <w:spacing w:line="56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日常公务接待，比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2017年预算数减少1.94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77.6%，主要原因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严格落实中央八项规定，大力压缩“三公”经费。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万元，主要保障机关机构正常运转及正常履职需要的办公费、水电费、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邮电费</w:t>
      </w:r>
      <w:r>
        <w:rPr>
          <w:rFonts w:hint="eastAsia" w:ascii="仿宋_GB2312" w:hAnsi="仿宋_GB2312" w:eastAsia="仿宋_GB2312" w:cs="仿宋_GB2312"/>
          <w:sz w:val="32"/>
          <w:szCs w:val="32"/>
        </w:rPr>
        <w:t>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、培训费、公务接待费、公务用车运行维护费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2017年减少4.87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万元，主要原因：深入贯彻中央“八项规定”精神等工作要求，大力压缩“三公”经费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万元、政府采购工程预算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万元、政府采购服务预算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ilvl w:val="0"/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,我部门对1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232.4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2018年，我部门纳入预算绩效管理的支出总额为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667.23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万元，其中人员经费支出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99.83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万元，公用经费支出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7.4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万元，支出项目共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个，支出总额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万元。 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规划分局固定资产总额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23.33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0万元，车辆8.15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辆，执法执勤车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辆；</w:t>
      </w:r>
      <w:r>
        <w:rPr>
          <w:rFonts w:hint="eastAsia" w:ascii="仿宋_GB2312" w:hAnsi="仿宋_GB2312" w:eastAsia="仿宋_GB2312" w:cs="仿宋_GB2312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规划分局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2018年10月9日</w:t>
      </w:r>
    </w:p>
    <w:p>
      <w:pPr>
        <w:adjustRightInd w:val="0"/>
        <w:snapToGrid w:val="0"/>
        <w:spacing w:line="360" w:lineRule="auto"/>
        <w:ind w:firstLine="404" w:firstLineChars="200"/>
        <w:rPr>
          <w:rFonts w:ascii="仿宋_GB2312" w:hAnsi="仿宋_GB2312" w:eastAsia="仿宋_GB2312" w:cs="仿宋_GB2312"/>
        </w:rPr>
      </w:pPr>
    </w:p>
    <w:sectPr>
      <w:pgSz w:w="11906" w:h="16838"/>
      <w:pgMar w:top="2154" w:right="1474" w:bottom="1757" w:left="1587" w:header="851" w:footer="992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B99D829"/>
    <w:multiLevelType w:val="singleLevel"/>
    <w:tmpl w:val="5B99D829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B99D84A"/>
    <w:multiLevelType w:val="singleLevel"/>
    <w:tmpl w:val="5B99D84A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5BBC5184"/>
    <w:multiLevelType w:val="singleLevel"/>
    <w:tmpl w:val="5BBC5184"/>
    <w:lvl w:ilvl="0" w:tentative="0">
      <w:start w:val="2"/>
      <w:numFmt w:val="chineseCounting"/>
      <w:suff w:val="nothing"/>
      <w:lvlText w:val="%1、"/>
      <w:lvlJc w:val="left"/>
    </w:lvl>
  </w:abstractNum>
  <w:abstractNum w:abstractNumId="5">
    <w:nsid w:val="5BDA63D9"/>
    <w:multiLevelType w:val="singleLevel"/>
    <w:tmpl w:val="5BDA63D9"/>
    <w:lvl w:ilvl="0" w:tentative="0">
      <w:start w:val="1"/>
      <w:numFmt w:val="chineseCounting"/>
      <w:suff w:val="nothing"/>
      <w:lvlText w:val="%1、"/>
      <w:lvlJc w:val="left"/>
    </w:lvl>
  </w:abstractNum>
  <w:abstractNum w:abstractNumId="6">
    <w:nsid w:val="5BDA6943"/>
    <w:multiLevelType w:val="singleLevel"/>
    <w:tmpl w:val="5BDA6943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DE23698"/>
    <w:rsid w:val="69C57C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4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7">
    <w:name w:val="页脚 Char Char"/>
    <w:basedOn w:val="4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7</Pages>
  <Words>394</Words>
  <Characters>2251</Characters>
  <Lines>18</Lines>
  <Paragraphs>5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2018-09-15T02:12:00Z</dcterms:created>
  <dc:creator>Administrator</dc:creator>
  <cp:lastModifiedBy>Administrator</cp:lastModifiedBy>
  <cp:lastPrinted>2018-08-06T00:36:00Z</cp:lastPrinted>
  <dcterms:modified xsi:type="dcterms:W3CDTF">2019-02-26T07:21:56Z</dcterms:modified>
  <dc:title>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