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widowControl/>
        <w:spacing w:line="600" w:lineRule="exact"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ascii="黑体" w:hAnsi="宋体" w:eastAsia="黑体" w:cs="宋体"/>
          <w:color w:val="000000"/>
          <w:kern w:val="0"/>
          <w:sz w:val="28"/>
          <w:szCs w:val="28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color w:val="000000"/>
          <w:sz w:val="52"/>
          <w:szCs w:val="52"/>
        </w:rPr>
        <w:t>焦作市城乡一体化示范区价格认证中心2018年度部门预算</w:t>
      </w:r>
    </w:p>
    <w:p>
      <w:pPr>
        <w:spacing w:line="600" w:lineRule="exact"/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000000"/>
          <w:sz w:val="52"/>
          <w:szCs w:val="52"/>
        </w:rPr>
      </w:pPr>
    </w:p>
    <w:p>
      <w:pPr>
        <w:spacing w:line="600" w:lineRule="exact"/>
        <w:jc w:val="center"/>
        <w:rPr>
          <w:rFonts w:ascii="黑体" w:hAnsi="黑体" w:eastAsia="黑体" w:cs="黑体"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color w:val="000000"/>
          <w:sz w:val="52"/>
          <w:szCs w:val="52"/>
        </w:rPr>
        <w:br w:type="page"/>
      </w:r>
    </w:p>
    <w:p>
      <w:pPr>
        <w:kinsoku w:val="0"/>
        <w:overflowPunct w:val="0"/>
        <w:adjustRightInd w:val="0"/>
        <w:snapToGrid w:val="0"/>
        <w:spacing w:line="600" w:lineRule="exact"/>
        <w:ind w:left="-142" w:right="51" w:firstLine="30" w:firstLineChars="7"/>
        <w:jc w:val="center"/>
        <w:rPr>
          <w:rFonts w:ascii="仿宋_GB2312" w:hAnsi="仿宋_GB2312" w:eastAsia="仿宋_GB2312" w:cs="仿宋_GB2312"/>
          <w:color w:val="000000"/>
          <w:sz w:val="44"/>
          <w:szCs w:val="44"/>
        </w:rPr>
      </w:pPr>
      <w:r>
        <w:rPr>
          <w:rFonts w:hint="eastAsia" w:ascii="仿宋_GB2312" w:hAnsi="仿宋_GB2312" w:eastAsia="仿宋_GB2312" w:cs="仿宋_GB2312"/>
          <w:color w:val="000000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color w:val="000000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600" w:lineRule="exact"/>
        <w:ind w:right="3569" w:firstLine="624" w:firstLineChars="200"/>
        <w:rPr>
          <w:rFonts w:ascii="仿宋_GB2312" w:hAnsi="仿宋_GB2312" w:eastAsia="仿宋_GB2312" w:cs="仿宋_GB2312"/>
          <w:color w:val="000000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第一部分  概况</w:t>
      </w:r>
      <w:r>
        <w:rPr>
          <w:rFonts w:hint="eastAsia" w:ascii="仿宋_GB2312" w:hAnsi="仿宋_GB2312" w:eastAsia="仿宋_GB2312" w:cs="仿宋_GB2312"/>
          <w:color w:val="000000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600" w:lineRule="exact"/>
        <w:ind w:right="3569" w:firstLine="936" w:firstLineChars="3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600" w:lineRule="exact"/>
        <w:ind w:right="3569" w:firstLine="936" w:firstLineChars="3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600" w:lineRule="exact"/>
        <w:ind w:right="521" w:firstLine="624" w:firstLine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第二部门 价格认证中心2018年部门预算情况说明</w:t>
      </w:r>
    </w:p>
    <w:p>
      <w:pPr>
        <w:kinsoku w:val="0"/>
        <w:overflowPunct w:val="0"/>
        <w:adjustRightInd w:val="0"/>
        <w:snapToGrid w:val="0"/>
        <w:spacing w:line="600" w:lineRule="exact"/>
        <w:ind w:right="521" w:firstLine="624" w:firstLine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价格认证中心2018</w:t>
      </w:r>
      <w:r>
        <w:rPr>
          <w:rFonts w:hint="eastAsia" w:ascii="仿宋_GB2312" w:hAnsi="仿宋_GB2312" w:eastAsia="仿宋_GB2312" w:cs="仿宋_GB2312"/>
          <w:color w:val="000000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600" w:lineRule="exact"/>
        <w:ind w:right="51" w:firstLine="1872" w:firstLineChars="6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十一、预算项目支出绩效目标表</w:t>
      </w:r>
    </w:p>
    <w:p>
      <w:pPr>
        <w:adjustRightInd w:val="0"/>
        <w:snapToGrid w:val="0"/>
        <w:spacing w:line="600" w:lineRule="exact"/>
        <w:ind w:firstLine="3744" w:firstLineChars="1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3744" w:firstLineChars="1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br w:type="page"/>
      </w:r>
    </w:p>
    <w:p>
      <w:pPr>
        <w:adjustRightInd w:val="0"/>
        <w:snapToGrid w:val="0"/>
        <w:spacing w:line="600" w:lineRule="exact"/>
        <w:ind w:firstLine="3744" w:firstLineChars="1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第一部分</w:t>
      </w:r>
    </w:p>
    <w:p>
      <w:pPr>
        <w:adjustRightInd w:val="0"/>
        <w:snapToGrid w:val="0"/>
        <w:spacing w:line="60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价格认证中心概况</w:t>
      </w:r>
    </w:p>
    <w:p>
      <w:pPr>
        <w:adjustRightInd w:val="0"/>
        <w:snapToGrid w:val="0"/>
        <w:spacing w:line="600" w:lineRule="exact"/>
        <w:ind w:firstLine="624" w:firstLineChars="200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主要职能</w:t>
      </w:r>
    </w:p>
    <w:p>
      <w:pPr>
        <w:kinsoku w:val="0"/>
        <w:overflowPunct w:val="0"/>
        <w:adjustRightInd w:val="0"/>
        <w:snapToGrid w:val="0"/>
        <w:spacing w:line="600" w:lineRule="exact"/>
        <w:ind w:firstLine="624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（一）机构设置情况</w:t>
      </w:r>
    </w:p>
    <w:p>
      <w:pPr>
        <w:kinsoku w:val="0"/>
        <w:overflowPunct w:val="0"/>
        <w:adjustRightInd w:val="0"/>
        <w:snapToGrid w:val="0"/>
        <w:spacing w:line="600" w:lineRule="exact"/>
        <w:ind w:firstLine="624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隶属于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焦作市</w:t>
      </w:r>
      <w:r>
        <w:rPr>
          <w:rFonts w:hint="eastAsia" w:ascii="仿宋_GB2312" w:eastAsia="仿宋_GB2312"/>
          <w:color w:val="000000"/>
          <w:sz w:val="32"/>
          <w:szCs w:val="32"/>
        </w:rPr>
        <w:t>城乡一体化示范区发展改革规划局领导，机构规格相当于副科级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，实有工作人员9名，副科级人员1名，经费供给方式为示范区财政全额拨付。</w:t>
      </w:r>
    </w:p>
    <w:p>
      <w:pPr>
        <w:spacing w:line="600" w:lineRule="exact"/>
        <w:ind w:firstLine="624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（二）部门职责</w:t>
      </w:r>
    </w:p>
    <w:p>
      <w:pPr>
        <w:spacing w:line="600" w:lineRule="exact"/>
        <w:ind w:firstLine="624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（1）负责接受司法机关、行政执法机关和仲裁机构的委托，对涉案标的进行价格鉴定；</w:t>
      </w:r>
    </w:p>
    <w:p>
      <w:pPr>
        <w:spacing w:line="600" w:lineRule="exact"/>
        <w:ind w:firstLine="624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（2）同时负责监督检查价格活动、行政事业性收费、经营性收费；</w:t>
      </w:r>
    </w:p>
    <w:p>
      <w:pPr>
        <w:spacing w:line="600" w:lineRule="exact"/>
        <w:ind w:firstLine="624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（3）负责对不执行国家定价、国家指导价和在非常时期不执行法定价格干预措施、紧急措施以及违规收费的价格违法行为实施行政处罚；</w:t>
      </w:r>
    </w:p>
    <w:p>
      <w:pPr>
        <w:spacing w:line="600" w:lineRule="exact"/>
        <w:ind w:firstLine="624" w:firstLineChars="200"/>
        <w:jc w:val="lef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（4）负责受理公民、法人或者其他组织对价格违法行为的举报工作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负责对辖区内商品房的成本预审工作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；</w:t>
      </w:r>
    </w:p>
    <w:p>
      <w:pPr>
        <w:spacing w:line="600" w:lineRule="exact"/>
        <w:ind w:firstLine="624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（5）承办发展改革规划局、管委会交办的其他事项。</w:t>
      </w:r>
    </w:p>
    <w:p>
      <w:pPr>
        <w:kinsoku w:val="0"/>
        <w:overflowPunct w:val="0"/>
        <w:adjustRightInd w:val="0"/>
        <w:snapToGrid w:val="0"/>
        <w:spacing w:line="600" w:lineRule="exact"/>
        <w:ind w:right="3569" w:firstLine="624" w:firstLineChars="200"/>
        <w:jc w:val="left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二、价格认证中心预算单位构成</w:t>
      </w:r>
    </w:p>
    <w:p>
      <w:pPr>
        <w:spacing w:line="600" w:lineRule="exact"/>
        <w:ind w:firstLine="624" w:firstLineChars="200"/>
        <w:jc w:val="left"/>
        <w:rPr>
          <w:rFonts w:ascii="楷体_GB2312" w:hAnsi="楷体_GB2312" w:eastAsia="楷体_GB2312" w:cs="Times New Roman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焦作市城乡一体化示范区价格认证中心</w:t>
      </w:r>
    </w:p>
    <w:p>
      <w:pPr>
        <w:widowControl/>
        <w:shd w:val="clear" w:color="auto" w:fill="FFFFFF"/>
        <w:spacing w:line="600" w:lineRule="exact"/>
        <w:ind w:firstLine="3438" w:firstLineChars="1102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page"/>
      </w:r>
    </w:p>
    <w:p>
      <w:pPr>
        <w:widowControl/>
        <w:shd w:val="clear" w:color="auto" w:fill="FFFFFF"/>
        <w:spacing w:line="600" w:lineRule="exac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第二部分</w:t>
      </w:r>
    </w:p>
    <w:p>
      <w:pPr>
        <w:widowControl/>
        <w:shd w:val="clear" w:color="auto" w:fill="FFFFFF"/>
        <w:spacing w:line="600" w:lineRule="exac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价格认证中心2018年度部门预算情况说明</w:t>
      </w:r>
    </w:p>
    <w:p>
      <w:pPr>
        <w:adjustRightInd w:val="0"/>
        <w:snapToGrid w:val="0"/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600" w:lineRule="exact"/>
        <w:ind w:firstLine="624" w:firstLineChars="200"/>
        <w:rPr>
          <w:rFonts w:ascii="Arial" w:hAnsi="Arial" w:eastAsia="仿宋_GB2312" w:cs="Arial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2018年收入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96.37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96.37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万元，与2017年收支各59.26万元相比，收、支总计各增加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37.11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62.62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%。主要原因：人员经费增加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 xml:space="preserve">。  </w:t>
      </w:r>
    </w:p>
    <w:p>
      <w:pPr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600" w:lineRule="exact"/>
        <w:ind w:firstLine="64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2018年收入合计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96.37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万元，其中：一般公共预算收入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96.37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政府性基金预算收入0万元；国有资本经营预算收入0万元；其他收入0万元。</w:t>
      </w:r>
    </w:p>
    <w:p>
      <w:pPr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三、支出预算总体情况说明</w:t>
      </w:r>
    </w:p>
    <w:p>
      <w:pPr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2018年支出合计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96.37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89.37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92.74%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7.26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%。 </w:t>
      </w:r>
    </w:p>
    <w:p>
      <w:pPr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24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2018年一般公共预算收支预算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96.37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万元。与 2017年相比，一般公共预算收支预算增加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37.11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62.62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%，主要原因：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人员经费增加。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无政府性基金预算。</w:t>
      </w:r>
    </w:p>
    <w:p>
      <w:pPr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五、一般公共预算支出预算情况说明</w:t>
      </w:r>
    </w:p>
    <w:p>
      <w:pPr>
        <w:widowControl/>
        <w:spacing w:line="600" w:lineRule="exact"/>
        <w:ind w:firstLine="622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2018年一般公共预算支出年初预算为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96.37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96.37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万元，占100%。</w:t>
      </w:r>
    </w:p>
    <w:p>
      <w:pPr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六、一般公共预算基本支出预算情况说明</w:t>
      </w:r>
    </w:p>
    <w:p>
      <w:pPr>
        <w:widowControl/>
        <w:spacing w:line="600" w:lineRule="exact"/>
        <w:ind w:firstLine="622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89.37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86.27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主要包括：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公用经费3.1万元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，主要包括：办公费、水费、电费、邮电费、差旅费、其他商品和服务支出。</w:t>
      </w:r>
    </w:p>
    <w:p>
      <w:pPr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七、政府性基金预算支出预算情况说明</w:t>
      </w:r>
    </w:p>
    <w:p>
      <w:pPr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我单位2018年没有使用政府性基金预算拨款安排的支出。</w:t>
      </w:r>
    </w:p>
    <w:p>
      <w:pPr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国有资本经营预算支出预算情况说明</w:t>
      </w:r>
    </w:p>
    <w:p>
      <w:pPr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我单位2018年没有使用国有资本经营预算拨款安排的支出。</w:t>
      </w:r>
    </w:p>
    <w:p>
      <w:pPr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九、“三公”经费支出预算情况说明</w:t>
      </w:r>
    </w:p>
    <w:p>
      <w:pPr>
        <w:widowControl/>
        <w:spacing w:line="600" w:lineRule="exact"/>
        <w:ind w:firstLine="624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 年“三公”经费预算为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万元，与2017年持平。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0万元。主要用于公务出国（境）业务的开支，与2017年持平。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元。主要用于车辆购置和加油、修理费用的支出，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与2017年持平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pStyle w:val="4"/>
        <w:widowControl/>
        <w:spacing w:line="600" w:lineRule="exact"/>
        <w:ind w:firstLine="62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-1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0万元，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主要用于按规定开支的接待外宾、其他部门等各类公务接待支出和日常加班支出，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与2017年持平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2018年机关运行经费支出预算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3.1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万元，主要保障机关机构正常运转及正常履职需要的办公费、水电费、物业费、维修费、差旅费等支出，比2017年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增长0.4万元，主要原因：业务量增大，办公类支出增加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2018年政府采购预算安排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outlineLvl w:val="0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（三）关于预算绩效管理工作开展情况说明</w:t>
      </w:r>
    </w:p>
    <w:p>
      <w:pPr>
        <w:ind w:firstLine="612" w:firstLineChars="196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2017年，我部门对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万元。2018年，我部门纳入预算绩效管理的支出总额为96.37万元，其中人员经费支出86.27万元，公用经费支出3.1万元，支出项目共1个，支出总额7万元，其中预算支出100万元及100万元以上项目0个，支出总额0万元。</w:t>
      </w:r>
    </w:p>
    <w:p>
      <w:pPr>
        <w:spacing w:line="600" w:lineRule="exact"/>
        <w:ind w:left="404" w:leftChars="20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（四）国有资产占用情况</w:t>
      </w:r>
    </w:p>
    <w:p>
      <w:pPr>
        <w:widowControl/>
        <w:spacing w:line="600" w:lineRule="exact"/>
        <w:ind w:firstLine="624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无</w:t>
      </w:r>
    </w:p>
    <w:p>
      <w:pPr>
        <w:widowControl/>
        <w:spacing w:line="600" w:lineRule="exact"/>
        <w:ind w:firstLine="624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2018年我单位按照市财政预算公开要求，将所属预算单位全部纳入预算公开范围。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br w:type="page"/>
      </w:r>
    </w:p>
    <w:p>
      <w:pPr>
        <w:adjustRightInd w:val="0"/>
        <w:snapToGrid w:val="0"/>
        <w:spacing w:line="60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</w:t>
      </w:r>
    </w:p>
    <w:p>
      <w:pPr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附件：价格认证中心2018年度部门预算表</w:t>
      </w:r>
    </w:p>
    <w:p>
      <w:pPr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24" w:firstLineChars="200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F213A80"/>
    <w:rsid w:val="111F5B34"/>
    <w:rsid w:val="1FE72C5E"/>
    <w:rsid w:val="490772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customStyle="1" w:styleId="7">
    <w:name w:val="页眉 Char Char"/>
    <w:basedOn w:val="6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8">
    <w:name w:val="页脚 Char Char"/>
    <w:basedOn w:val="6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XLGS.CN.COM</Company>
  <Pages>9</Pages>
  <Words>370</Words>
  <Characters>2111</Characters>
  <Lines>17</Lines>
  <Paragraphs>4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NTKO</cp:lastModifiedBy>
  <cp:lastPrinted>2018-08-06T00:36:00Z</cp:lastPrinted>
  <dcterms:modified xsi:type="dcterms:W3CDTF">2019-03-18T08:34:03Z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