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</w:t>
      </w:r>
    </w:p>
    <w:p>
      <w:pPr>
        <w:widowControl/>
        <w:jc w:val="left"/>
        <w:rPr>
          <w:rFonts w:hint="eastAsia" w:ascii="黑体" w:hAnsi="宋体" w:eastAsia="黑体" w:cs="宋体"/>
          <w:kern w:val="0"/>
          <w:sz w:val="28"/>
          <w:szCs w:val="28"/>
        </w:rPr>
      </w:pPr>
    </w:p>
    <w:p>
      <w:pPr>
        <w:widowControl/>
        <w:jc w:val="left"/>
        <w:rPr>
          <w:rFonts w:hint="eastAsia" w:ascii="黑体" w:hAnsi="宋体" w:eastAsia="黑体" w:cs="宋体"/>
          <w:kern w:val="0"/>
          <w:sz w:val="28"/>
          <w:szCs w:val="28"/>
        </w:rPr>
      </w:pPr>
    </w:p>
    <w:p>
      <w:pPr>
        <w:widowControl/>
        <w:jc w:val="left"/>
        <w:rPr>
          <w:rFonts w:hint="eastAsia" w:ascii="黑体" w:hAnsi="宋体" w:eastAsia="黑体" w:cs="宋体"/>
          <w:kern w:val="0"/>
          <w:sz w:val="28"/>
          <w:szCs w:val="28"/>
        </w:rPr>
      </w:pPr>
    </w:p>
    <w:p>
      <w:pPr>
        <w:widowControl/>
        <w:jc w:val="left"/>
        <w:rPr>
          <w:rFonts w:hint="eastAsia" w:ascii="黑体" w:hAnsi="宋体" w:eastAsia="黑体" w:cs="宋体"/>
          <w:kern w:val="0"/>
          <w:sz w:val="28"/>
          <w:szCs w:val="28"/>
        </w:rPr>
      </w:pPr>
    </w:p>
    <w:p>
      <w:pPr>
        <w:widowControl/>
        <w:jc w:val="left"/>
        <w:rPr>
          <w:rFonts w:hint="eastAsia" w:ascii="黑体" w:hAnsi="宋体" w:eastAsia="黑体" w:cs="宋体"/>
          <w:kern w:val="0"/>
          <w:sz w:val="28"/>
          <w:szCs w:val="28"/>
        </w:rPr>
      </w:pPr>
    </w:p>
    <w:p>
      <w:pPr>
        <w:jc w:val="center"/>
        <w:rPr>
          <w:rFonts w:hint="eastAsia" w:ascii="黑体" w:hAnsi="黑体" w:eastAsia="黑体" w:cs="黑体"/>
          <w:sz w:val="52"/>
          <w:szCs w:val="52"/>
          <w:lang w:eastAsia="zh-CN"/>
        </w:rPr>
      </w:pPr>
      <w:r>
        <w:rPr>
          <w:rFonts w:hint="eastAsia" w:ascii="黑体" w:hAnsi="黑体" w:eastAsia="黑体" w:cs="黑体"/>
          <w:sz w:val="52"/>
          <w:szCs w:val="52"/>
          <w:lang w:eastAsia="zh-CN"/>
        </w:rPr>
        <w:t>机关事务管理中心</w:t>
      </w:r>
    </w:p>
    <w:p>
      <w:pPr>
        <w:jc w:val="center"/>
        <w:rPr>
          <w:rFonts w:hint="eastAsia" w:ascii="黑体" w:hAnsi="黑体" w:eastAsia="黑体" w:cs="黑体"/>
          <w:sz w:val="52"/>
          <w:szCs w:val="52"/>
        </w:rPr>
      </w:pPr>
      <w:r>
        <w:rPr>
          <w:rFonts w:hint="eastAsia" w:ascii="黑体" w:hAnsi="黑体" w:eastAsia="黑体" w:cs="黑体"/>
          <w:sz w:val="52"/>
          <w:szCs w:val="52"/>
        </w:rPr>
        <w:t>201</w:t>
      </w:r>
      <w:r>
        <w:rPr>
          <w:rFonts w:hint="eastAsia" w:ascii="黑体" w:hAnsi="黑体" w:eastAsia="黑体" w:cs="黑体"/>
          <w:sz w:val="52"/>
          <w:szCs w:val="52"/>
          <w:lang w:val="en-US" w:eastAsia="zh-CN"/>
        </w:rPr>
        <w:t>8</w:t>
      </w:r>
      <w:r>
        <w:rPr>
          <w:rFonts w:hint="eastAsia" w:ascii="黑体" w:hAnsi="黑体" w:eastAsia="黑体" w:cs="黑体"/>
          <w:sz w:val="52"/>
          <w:szCs w:val="52"/>
        </w:rPr>
        <w:t>年度部门</w:t>
      </w:r>
      <w:r>
        <w:rPr>
          <w:rFonts w:hint="eastAsia" w:ascii="黑体" w:hAnsi="黑体" w:eastAsia="黑体" w:cs="黑体"/>
          <w:sz w:val="52"/>
          <w:szCs w:val="52"/>
          <w:lang w:eastAsia="zh-CN"/>
        </w:rPr>
        <w:t>预</w:t>
      </w:r>
      <w:r>
        <w:rPr>
          <w:rFonts w:hint="eastAsia" w:ascii="黑体" w:hAnsi="黑体" w:eastAsia="黑体" w:cs="黑体"/>
          <w:sz w:val="52"/>
          <w:szCs w:val="52"/>
        </w:rPr>
        <w:t>算</w:t>
      </w:r>
    </w:p>
    <w:p>
      <w:pPr>
        <w:jc w:val="center"/>
        <w:rPr>
          <w:rFonts w:hint="eastAsia" w:ascii="黑体" w:hAnsi="黑体" w:eastAsia="黑体" w:cs="黑体"/>
          <w:sz w:val="52"/>
          <w:szCs w:val="52"/>
        </w:rPr>
      </w:pPr>
    </w:p>
    <w:p>
      <w:pPr>
        <w:jc w:val="center"/>
        <w:rPr>
          <w:rFonts w:hint="eastAsia" w:ascii="黑体" w:hAnsi="黑体" w:eastAsia="黑体" w:cs="黑体"/>
          <w:sz w:val="52"/>
          <w:szCs w:val="52"/>
        </w:rPr>
      </w:pPr>
    </w:p>
    <w:p>
      <w:pPr>
        <w:jc w:val="center"/>
        <w:rPr>
          <w:rFonts w:hint="eastAsia" w:ascii="黑体" w:hAnsi="黑体" w:eastAsia="黑体" w:cs="黑体"/>
          <w:sz w:val="52"/>
          <w:szCs w:val="52"/>
        </w:rPr>
      </w:pPr>
    </w:p>
    <w:p>
      <w:pPr>
        <w:jc w:val="center"/>
        <w:rPr>
          <w:rFonts w:hint="eastAsia" w:ascii="黑体" w:hAnsi="黑体" w:eastAsia="黑体" w:cs="黑体"/>
          <w:sz w:val="52"/>
          <w:szCs w:val="52"/>
        </w:rPr>
      </w:pPr>
    </w:p>
    <w:p>
      <w:pPr>
        <w:jc w:val="center"/>
        <w:rPr>
          <w:rFonts w:hint="eastAsia" w:ascii="黑体" w:hAnsi="黑体" w:eastAsia="黑体" w:cs="黑体"/>
          <w:sz w:val="52"/>
          <w:szCs w:val="52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adjustRightInd w:val="0"/>
        <w:snapToGrid w:val="0"/>
        <w:spacing w:line="360" w:lineRule="auto"/>
        <w:jc w:val="both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left="101" w:right="3569"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left="-142" w:right="51" w:firstLine="30" w:firstLineChars="7"/>
        <w:jc w:val="center"/>
        <w:rPr>
          <w:rFonts w:hint="eastAsia" w:ascii="仿宋_GB2312" w:hAnsi="仿宋_GB2312" w:eastAsia="仿宋_GB2312" w:cs="仿宋_GB2312"/>
          <w:sz w:val="44"/>
          <w:szCs w:val="44"/>
        </w:rPr>
      </w:pPr>
      <w:r>
        <w:rPr>
          <w:rFonts w:hint="eastAsia" w:ascii="仿宋_GB2312" w:hAnsi="仿宋_GB2312" w:eastAsia="仿宋_GB2312" w:cs="仿宋_GB2312"/>
          <w:sz w:val="44"/>
          <w:szCs w:val="44"/>
        </w:rPr>
        <w:t>目</w:t>
      </w:r>
      <w:r>
        <w:rPr>
          <w:rFonts w:hint="eastAsia" w:ascii="仿宋_GB2312" w:hAnsi="仿宋_GB2312" w:eastAsia="仿宋_GB2312" w:cs="仿宋_GB2312"/>
          <w:spacing w:val="2"/>
          <w:sz w:val="44"/>
          <w:szCs w:val="44"/>
        </w:rPr>
        <w:t xml:space="preserve"> </w:t>
      </w:r>
      <w:r>
        <w:rPr>
          <w:rFonts w:hint="eastAsia" w:ascii="仿宋_GB2312" w:hAnsi="仿宋_GB2312" w:eastAsia="仿宋_GB2312" w:cs="仿宋_GB2312"/>
          <w:sz w:val="44"/>
          <w:szCs w:val="44"/>
        </w:rPr>
        <w:t>录</w:t>
      </w:r>
    </w:p>
    <w:p>
      <w:pPr>
        <w:kinsoku w:val="0"/>
        <w:overflowPunct w:val="0"/>
        <w:adjustRightInd w:val="0"/>
        <w:snapToGrid w:val="0"/>
        <w:spacing w:line="360" w:lineRule="auto"/>
        <w:ind w:right="3569" w:firstLine="624" w:firstLineChars="200"/>
        <w:rPr>
          <w:rFonts w:hint="eastAsia" w:ascii="仿宋_GB2312" w:hAnsi="仿宋_GB2312" w:eastAsia="仿宋_GB2312" w:cs="仿宋_GB2312"/>
          <w:w w:val="99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第一部分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概况</w:t>
      </w:r>
      <w:r>
        <w:rPr>
          <w:rFonts w:hint="eastAsia" w:ascii="仿宋_GB2312" w:hAnsi="仿宋_GB2312" w:eastAsia="仿宋_GB2312" w:cs="仿宋_GB2312"/>
          <w:w w:val="99"/>
          <w:sz w:val="32"/>
          <w:szCs w:val="32"/>
        </w:rPr>
        <w:t xml:space="preserve"> </w:t>
      </w:r>
    </w:p>
    <w:p>
      <w:pPr>
        <w:kinsoku w:val="0"/>
        <w:overflowPunct w:val="0"/>
        <w:adjustRightInd w:val="0"/>
        <w:snapToGrid w:val="0"/>
        <w:spacing w:line="360" w:lineRule="auto"/>
        <w:ind w:right="3569" w:firstLine="936" w:firstLineChars="3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一、主要职能</w:t>
      </w:r>
    </w:p>
    <w:p>
      <w:pPr>
        <w:kinsoku w:val="0"/>
        <w:overflowPunct w:val="0"/>
        <w:adjustRightInd w:val="0"/>
        <w:snapToGrid w:val="0"/>
        <w:spacing w:line="360" w:lineRule="auto"/>
        <w:ind w:right="3569" w:firstLine="936" w:firstLineChars="3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二、部门预算单位构成</w:t>
      </w:r>
    </w:p>
    <w:p>
      <w:pPr>
        <w:kinsoku w:val="0"/>
        <w:overflowPunct w:val="0"/>
        <w:adjustRightInd w:val="0"/>
        <w:snapToGrid w:val="0"/>
        <w:spacing w:line="360" w:lineRule="auto"/>
        <w:ind w:right="521" w:firstLine="624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第二部门 机关事务管理中心2018年部门预算情况说明</w:t>
      </w:r>
    </w:p>
    <w:p>
      <w:pPr>
        <w:kinsoku w:val="0"/>
        <w:overflowPunct w:val="0"/>
        <w:adjustRightInd w:val="0"/>
        <w:snapToGrid w:val="0"/>
        <w:spacing w:line="360" w:lineRule="auto"/>
        <w:ind w:right="521" w:firstLine="624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第三部分 名词解释</w:t>
      </w:r>
    </w:p>
    <w:p>
      <w:pPr>
        <w:kinsoku w:val="0"/>
        <w:overflowPunct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</w:t>
      </w:r>
      <w:r>
        <w:rPr>
          <w:rFonts w:hint="eastAsia" w:ascii="仿宋_GB2312" w:hAnsi="仿宋_GB2312" w:eastAsia="仿宋_GB2312" w:cs="仿宋_GB2312"/>
          <w:spacing w:val="-3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机关事务管理中心2018</w:t>
      </w:r>
      <w:r>
        <w:rPr>
          <w:rFonts w:hint="eastAsia" w:ascii="仿宋_GB2312" w:hAnsi="仿宋_GB2312" w:eastAsia="仿宋_GB2312" w:cs="仿宋_GB2312"/>
          <w:spacing w:val="-116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年度部门预算表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一、部门收支总体情况表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二、部门收入总体情况表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三、部门支出总体情况表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四、财政拨款收支总体情况表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五、一般公共预算支出情况表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六、一般公共预算基本支出情况表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七、一般公共预算“三公”经费支出情况表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八、政府性基金预算支出情况表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九、国有资本经营预算收支情况表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十、机关运行经费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十一、预算项目支出绩效目标表</w:t>
      </w:r>
    </w:p>
    <w:p>
      <w:pPr>
        <w:adjustRightInd w:val="0"/>
        <w:snapToGrid w:val="0"/>
        <w:spacing w:line="360" w:lineRule="auto"/>
        <w:ind w:firstLine="3744" w:firstLineChars="1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3744" w:firstLineChars="120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3744" w:firstLineChars="120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第一部分</w:t>
      </w:r>
    </w:p>
    <w:p>
      <w:pPr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机关事务管理中心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概况</w:t>
      </w:r>
    </w:p>
    <w:p>
      <w:pPr>
        <w:adjustRightInd w:val="0"/>
        <w:snapToGrid w:val="0"/>
        <w:spacing w:line="360" w:lineRule="auto"/>
        <w:ind w:firstLine="624" w:firstLineChars="20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numPr>
          <w:ilvl w:val="0"/>
          <w:numId w:val="1"/>
        </w:numPr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主要职能</w:t>
      </w:r>
    </w:p>
    <w:p>
      <w:pPr>
        <w:numPr>
          <w:ilvl w:val="0"/>
          <w:numId w:val="2"/>
        </w:numPr>
        <w:kinsoku w:val="0"/>
        <w:overflowPunct w:val="0"/>
        <w:adjustRightInd w:val="0"/>
        <w:snapToGrid w:val="0"/>
        <w:spacing w:line="360" w:lineRule="auto"/>
        <w:ind w:right="3569" w:rightChars="0" w:firstLine="624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机构设置情况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 w:val="0"/>
        <w:topLinePunct w:val="0"/>
        <w:autoSpaceDE/>
        <w:autoSpaceDN/>
        <w:bidi w:val="0"/>
        <w:adjustRightInd/>
        <w:snapToGrid w:val="0"/>
        <w:spacing w:line="560" w:lineRule="exact"/>
        <w:ind w:right="0" w:rightChars="0" w:firstLine="624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机关事务管理中所属于区党政办公室下设二级机构。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 w:val="0"/>
        <w:wordWrap/>
        <w:overflowPunct w:val="0"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24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部门职责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 w:val="0"/>
        <w:topLinePunct w:val="0"/>
        <w:autoSpaceDE/>
        <w:autoSpaceDN/>
        <w:bidi w:val="0"/>
        <w:adjustRightInd/>
        <w:snapToGrid w:val="0"/>
        <w:spacing w:line="560" w:lineRule="exact"/>
        <w:ind w:right="0" w:rightChars="0" w:firstLine="624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主要职责是做好机关内部事务管理、物业管理、车辆管理、固定资产管理、安全保卫、消防以及后勤服务等工作。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 w:val="0"/>
        <w:topLinePunct w:val="0"/>
        <w:autoSpaceDE/>
        <w:autoSpaceDN/>
        <w:bidi w:val="0"/>
        <w:adjustRightInd/>
        <w:snapToGrid w:val="0"/>
        <w:spacing w:line="560" w:lineRule="exact"/>
        <w:ind w:leftChars="200" w:right="0" w:righ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/>
        <w:autoSpaceDN/>
        <w:bidi w:val="0"/>
        <w:adjustRightInd/>
        <w:snapToGrid w:val="0"/>
        <w:spacing w:line="560" w:lineRule="exact"/>
        <w:ind w:right="0" w:firstLine="624" w:firstLineChars="200"/>
        <w:jc w:val="left"/>
        <w:textAlignment w:val="auto"/>
        <w:outlineLvl w:val="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二、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机关事务管理中心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预算单位构成</w:t>
      </w:r>
    </w:p>
    <w:p>
      <w:pPr>
        <w:widowControl/>
        <w:shd w:val="clear" w:color="auto" w:fill="FFFFFF"/>
        <w:spacing w:line="450" w:lineRule="atLeast"/>
        <w:ind w:firstLine="3438" w:firstLineChars="1102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widowControl/>
        <w:shd w:val="clear" w:color="auto" w:fill="FFFFFF"/>
        <w:spacing w:line="450" w:lineRule="atLeast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第二部分</w:t>
      </w:r>
    </w:p>
    <w:p>
      <w:pPr>
        <w:widowControl/>
        <w:shd w:val="clear" w:color="auto" w:fill="FFFFFF"/>
        <w:spacing w:line="450" w:lineRule="atLeast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机关事务管理中心2018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年度部门预算情况说明</w:t>
      </w:r>
    </w:p>
    <w:p>
      <w:pPr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一、收入支出预算总体情况说明</w:t>
      </w:r>
    </w:p>
    <w:p>
      <w:pPr>
        <w:adjustRightInd w:val="0"/>
        <w:snapToGrid w:val="0"/>
        <w:spacing w:line="360" w:lineRule="auto"/>
        <w:ind w:firstLine="624" w:firstLineChars="200"/>
        <w:rPr>
          <w:rFonts w:hint="eastAsia" w:ascii="Arial" w:hAnsi="Arial" w:eastAsia="仿宋_GB2312" w:cs="Arial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机关事务管理中心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1262.86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万元，支出总计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1262.86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万元，与201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年相比，收、支总计各增加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581.28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万元，增长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46%</w:t>
      </w:r>
      <w:r>
        <w:rPr>
          <w:rFonts w:hint="eastAsia" w:ascii="仿宋_GB2312" w:hAnsi="仿宋_GB2312" w:eastAsia="仿宋_GB2312" w:cs="仿宋_GB2312"/>
          <w:sz w:val="32"/>
          <w:szCs w:val="32"/>
        </w:rPr>
        <w:t>。主要原因：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由于管委会是租赁创业中心的房屋，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2018年需向创业中心支付管委会2017年的租金</w:t>
      </w:r>
      <w:r>
        <w:rPr>
          <w:rFonts w:hint="eastAsia" w:ascii="Arial" w:hAnsi="Arial" w:eastAsia="仿宋_GB2312" w:cs="Arial"/>
          <w:sz w:val="32"/>
          <w:szCs w:val="32"/>
          <w:lang w:eastAsia="zh-CN"/>
        </w:rPr>
        <w:t>。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 xml:space="preserve">  </w:t>
      </w:r>
    </w:p>
    <w:p>
      <w:pPr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二、收入预算总体情况说明</w:t>
      </w:r>
    </w:p>
    <w:p>
      <w:pPr>
        <w:widowControl/>
        <w:shd w:val="clear" w:color="auto" w:fill="FFFFFF"/>
        <w:spacing w:line="560" w:lineRule="atLeast"/>
        <w:ind w:firstLine="640"/>
        <w:jc w:val="left"/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机关事务管理中心</w:t>
      </w:r>
      <w:r>
        <w:rPr>
          <w:rFonts w:hint="eastAsia" w:ascii="仿宋" w:hAnsi="仿宋" w:eastAsia="仿宋" w:cs="仿宋"/>
          <w:sz w:val="32"/>
          <w:szCs w:val="32"/>
        </w:rPr>
        <w:t>201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年收入合计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1262.86</w:t>
      </w:r>
      <w:r>
        <w:rPr>
          <w:rFonts w:hint="eastAsia" w:ascii="仿宋" w:hAnsi="仿宋" w:eastAsia="仿宋" w:cs="仿宋"/>
          <w:sz w:val="32"/>
          <w:szCs w:val="32"/>
        </w:rPr>
        <w:t>万元，其中：一般公共预算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收入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1262.86</w:t>
      </w:r>
      <w:r>
        <w:rPr>
          <w:rFonts w:hint="eastAsia" w:ascii="仿宋" w:hAnsi="仿宋" w:eastAsia="仿宋" w:cs="仿宋"/>
          <w:sz w:val="32"/>
          <w:szCs w:val="32"/>
        </w:rPr>
        <w:t xml:space="preserve">万元;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政府性基金预算收入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万元；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国有资本经营预算收入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万元；其他收入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万元。</w:t>
      </w:r>
      <w:r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  <w:t xml:space="preserve"> </w:t>
      </w:r>
    </w:p>
    <w:p>
      <w:pPr>
        <w:spacing w:line="560" w:lineRule="exact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三、支出预算总体情况说明</w:t>
      </w:r>
    </w:p>
    <w:p>
      <w:pPr>
        <w:spacing w:line="560" w:lineRule="exact"/>
        <w:ind w:firstLine="624" w:firstLineChars="200"/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机关事务管理中心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年支出合计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1262.86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万元，其中：基本支出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288.56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22.8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；项目支出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974.3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77.1%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 xml:space="preserve"> </w:t>
      </w:r>
    </w:p>
    <w:p>
      <w:pPr>
        <w:spacing w:line="560" w:lineRule="exact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四、财政拨款收入支出预算总体情况说明</w:t>
      </w:r>
    </w:p>
    <w:p>
      <w:pPr>
        <w:spacing w:line="560" w:lineRule="exact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机关事务管理中心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年一般公共预算收支预算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1262.86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政府性基金收支预算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Arial" w:hAnsi="Arial" w:eastAsia="仿宋_GB2312" w:cs="Arial"/>
          <w:sz w:val="32"/>
          <w:szCs w:val="32"/>
          <w:lang w:eastAsia="zh-CN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与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2017</w:t>
      </w:r>
      <w:r>
        <w:rPr>
          <w:rFonts w:hint="eastAsia" w:ascii="仿宋_GB2312" w:hAnsi="仿宋_GB2312" w:eastAsia="仿宋_GB2312" w:cs="仿宋_GB2312"/>
          <w:sz w:val="32"/>
          <w:szCs w:val="32"/>
        </w:rPr>
        <w:t>年相比，一般公共预算收支预算增加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669.45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万元，增长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53%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主要原因：由于管委会是租赁创业中心的房屋，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2018年需向创业中心支付管委会2017年的租金</w:t>
      </w:r>
      <w:r>
        <w:rPr>
          <w:rFonts w:hint="eastAsia" w:ascii="Arial" w:hAnsi="Arial" w:eastAsia="仿宋_GB2312" w:cs="Arial"/>
          <w:sz w:val="32"/>
          <w:szCs w:val="32"/>
          <w:lang w:eastAsia="zh-CN"/>
        </w:rPr>
        <w:t>。。</w:t>
      </w:r>
    </w:p>
    <w:p>
      <w:pPr>
        <w:spacing w:line="560" w:lineRule="exact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五、一般公共预算支出预算情况说明</w:t>
      </w:r>
    </w:p>
    <w:p>
      <w:pPr>
        <w:widowControl/>
        <w:ind w:firstLine="622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机关事务管理中心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年一般公共预算支出年初预算为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1262.86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万元。主要用于以下方面：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一般公共服务支出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1262.86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%；国防支出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%；教育支出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%；科学技术支出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%；文化体育与传媒支出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%；社会保障和就业支出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%；医疗卫生与计划生育支出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%；农林水支出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%；住房保障支出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。</w:t>
      </w:r>
    </w:p>
    <w:p>
      <w:pPr>
        <w:spacing w:line="560" w:lineRule="exact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六、一般公共预算基本支出预算情况说明</w:t>
      </w:r>
    </w:p>
    <w:p>
      <w:pPr>
        <w:widowControl/>
        <w:ind w:firstLine="622"/>
        <w:jc w:val="left"/>
        <w:rPr>
          <w:rFonts w:hint="eastAsia" w:ascii="仿宋_GB2312" w:hAnsi="仿宋_GB2312" w:eastAsia="仿宋_GB2312" w:cs="仿宋_GB2312"/>
          <w:color w:val="FF0000"/>
          <w:kern w:val="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机关事务管理中心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年一般公共预算基本支出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288.56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</w:t>
      </w:r>
      <w:r>
        <w:rPr>
          <w:rFonts w:hint="eastAsia" w:ascii="仿宋_GB2312" w:hAnsi="仿宋_GB2312" w:eastAsia="仿宋_GB2312" w:cs="仿宋_GB2312"/>
          <w:b/>
          <w:bCs w:val="0"/>
          <w:spacing w:val="-1"/>
          <w:kern w:val="0"/>
          <w:sz w:val="32"/>
          <w:szCs w:val="32"/>
        </w:rPr>
        <w:t>人员经费</w:t>
      </w:r>
      <w:r>
        <w:rPr>
          <w:rFonts w:hint="eastAsia" w:ascii="仿宋_GB2312" w:hAnsi="仿宋_GB2312" w:eastAsia="仿宋_GB2312" w:cs="仿宋_GB2312"/>
          <w:b/>
          <w:bCs w:val="0"/>
          <w:spacing w:val="-1"/>
          <w:kern w:val="0"/>
          <w:sz w:val="32"/>
          <w:szCs w:val="32"/>
          <w:lang w:val="en-US" w:eastAsia="zh-CN"/>
        </w:rPr>
        <w:t>257.84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基本工资、津贴补贴、奖金、绩效工资、机关事业单位基本养老保险缴费、职业年金缴费、医疗保险缴费、其他社会保障缴费、住房公积金、其他工资福利支出、离休费、退休费、福利费、其他对个人和家庭的补助支出；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公用经费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  <w:t>30.72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，主要包括：办公费、印刷费、水费、电费、邮电费、差旅费、维修（护）费、租赁费、公务接待费、劳务费、公务用车运行维护费、其他交通费用、其他商品和服务支出、办公设备购置、专用设备购置、基础设施建设、大型修缮、信息网络及软件购置更新、其他资本性支出和其他支出。</w:t>
      </w:r>
    </w:p>
    <w:p>
      <w:pPr>
        <w:spacing w:line="560" w:lineRule="exact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七、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政府性基金预算支出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预算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情况说明</w:t>
      </w:r>
    </w:p>
    <w:p>
      <w:pPr>
        <w:spacing w:line="560" w:lineRule="exact"/>
        <w:ind w:firstLine="624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  <w:lang w:eastAsia="zh-CN"/>
        </w:rPr>
        <w:t>我单位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</w:rPr>
        <w:t>201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</w:rPr>
        <w:t>年没有使用政府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</w:rPr>
        <w:t>性基金预算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  <w:lang w:eastAsia="zh-CN"/>
        </w:rPr>
        <w:t>拨款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</w:rPr>
        <w:t>安排的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  <w:lang w:eastAsia="zh-CN"/>
        </w:rPr>
        <w:t>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</w:rPr>
        <w:t>。</w:t>
      </w:r>
    </w:p>
    <w:p>
      <w:pPr>
        <w:spacing w:line="560" w:lineRule="exact"/>
        <w:ind w:firstLine="624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八、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国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有资本经营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预算支出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预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算情况说明</w:t>
      </w:r>
    </w:p>
    <w:p>
      <w:pPr>
        <w:spacing w:line="560" w:lineRule="exact"/>
        <w:ind w:firstLine="624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我单位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年没有使用政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国有资本经营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预算拨款安排的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numPr>
          <w:ilvl w:val="0"/>
          <w:numId w:val="0"/>
        </w:numPr>
        <w:spacing w:line="560" w:lineRule="exact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九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、“三公”经费支出预算情况说明</w:t>
      </w:r>
    </w:p>
    <w:p>
      <w:pPr>
        <w:widowControl/>
        <w:ind w:firstLine="624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机关事务管理中心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年“三公”经费预算为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28.59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比 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年预算数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减少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75.71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，下降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72.5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numPr>
          <w:ilvl w:val="0"/>
          <w:numId w:val="0"/>
        </w:num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具体支出情况如下：</w:t>
      </w:r>
    </w:p>
    <w:p>
      <w:pPr>
        <w:numPr>
          <w:ilvl w:val="0"/>
          <w:numId w:val="3"/>
        </w:num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pacing w:val="-1"/>
          <w:kern w:val="0"/>
          <w:sz w:val="32"/>
          <w:szCs w:val="32"/>
        </w:rPr>
        <w:t>因公出国（境）费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0万元。主要用于0。预算数比2017年减少（增加）0万元，下降（增长）0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numPr>
          <w:ilvl w:val="0"/>
          <w:numId w:val="3"/>
        </w:num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left="0" w:leftChars="0" w:firstLine="62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pacing w:val="-1"/>
          <w:kern w:val="0"/>
          <w:sz w:val="32"/>
          <w:szCs w:val="32"/>
        </w:rPr>
        <w:t>公务用车购置及运行费</w:t>
      </w:r>
      <w:r>
        <w:rPr>
          <w:rFonts w:hint="eastAsia" w:ascii="仿宋_GB2312" w:hAnsi="仿宋_GB2312" w:eastAsia="仿宋_GB2312" w:cs="仿宋_GB2312"/>
          <w:b/>
          <w:spacing w:val="-1"/>
          <w:kern w:val="0"/>
          <w:sz w:val="32"/>
          <w:szCs w:val="32"/>
          <w:lang w:val="en-US" w:eastAsia="zh-CN"/>
        </w:rPr>
        <w:t>27.9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</w:t>
      </w:r>
      <w:r>
        <w:rPr>
          <w:rFonts w:hint="eastAsia" w:ascii="仿宋_GB2312" w:hAnsi="仿宋_GB2312" w:eastAsia="仿宋_GB2312" w:cs="仿宋_GB2312"/>
          <w:sz w:val="32"/>
          <w:szCs w:val="32"/>
        </w:rPr>
        <w:t>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。其中公务车辆购置费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公务用车运行维护费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27.9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主要用于公车加油、维修,比2017年减少70.1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万元，较上年下降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71.5%，主要原因：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厉行勤俭节约，严格遵守“八项规定”，按照财政局要求，压缩预算支出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。</w:t>
      </w:r>
    </w:p>
    <w:p>
      <w:pPr>
        <w:spacing w:line="560" w:lineRule="exact"/>
        <w:ind w:firstLine="62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pacing w:val="-1"/>
          <w:kern w:val="0"/>
          <w:sz w:val="32"/>
          <w:szCs w:val="32"/>
        </w:rPr>
        <w:t>（三）公务接待费</w:t>
      </w:r>
      <w:r>
        <w:rPr>
          <w:rFonts w:hint="eastAsia" w:ascii="仿宋_GB2312" w:hAnsi="仿宋_GB2312" w:eastAsia="仿宋_GB2312" w:cs="仿宋_GB2312"/>
          <w:b/>
          <w:spacing w:val="-1"/>
          <w:kern w:val="0"/>
          <w:sz w:val="32"/>
          <w:szCs w:val="32"/>
          <w:lang w:val="en-US" w:eastAsia="zh-CN"/>
        </w:rPr>
        <w:t>0.69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主要用于招商引资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，比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2017年预算数减少5.61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万元，下降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89%，主要原因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厉行勤俭节约，严格遵守“八项规定”，按照财政局要求，压缩预算支出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kern w:val="0"/>
          <w:sz w:val="32"/>
          <w:szCs w:val="32"/>
          <w:lang w:eastAsia="zh-CN"/>
        </w:rPr>
        <w:t>十</w:t>
      </w:r>
      <w:r>
        <w:rPr>
          <w:rFonts w:hint="eastAsia" w:ascii="仿宋_GB2312" w:hAnsi="仿宋_GB2312" w:eastAsia="仿宋_GB2312" w:cs="仿宋_GB2312"/>
          <w:spacing w:val="-1"/>
          <w:kern w:val="0"/>
          <w:sz w:val="32"/>
          <w:szCs w:val="32"/>
        </w:rPr>
        <w:t>、其他重要事项的情况说明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（一）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eastAsia="zh-CN"/>
        </w:rPr>
        <w:t>机关运行经费支出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情况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机关事务管理中心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机关运行经费支出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30.72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万元，主要保障机关机构正常运转及正常履职需要的办公费、水电费、物业费、维修费、差旅费等支出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2017年减少6.01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万元，下降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16.3%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，主要原因：厉行勤俭节约，严格遵守“八项规定”，按照财政局要求，压缩预算支出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（二）政府采购支出情况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年政府采购预算安排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政府采购货物预算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万元、政府采购工程预算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万元、政府采购服务预算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（三）关于预算绩效管理工作开展情况说明</w:t>
      </w:r>
    </w:p>
    <w:p>
      <w:pPr>
        <w:numPr>
          <w:ilvl w:val="0"/>
          <w:numId w:val="0"/>
        </w:numPr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2017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,我部门对0</w:t>
      </w:r>
      <w:r>
        <w:rPr>
          <w:rFonts w:hint="eastAsia" w:ascii="仿宋_GB2312" w:hAnsi="仿宋_GB2312" w:eastAsia="仿宋_GB2312" w:cs="仿宋_GB2312"/>
          <w:sz w:val="32"/>
          <w:szCs w:val="32"/>
        </w:rPr>
        <w:t>个项目进行了预算绩效评价，涉及资金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2018年，我部门纳入预算绩效管理的支出总额为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万元，其中人员经费支出0万元，公用经费支出0万元，支出项目共0个，支出总额0万元，其中预算支出100万元及100万元以上0个，支出总额0万元。 </w:t>
      </w:r>
    </w:p>
    <w:p>
      <w:pPr>
        <w:numPr>
          <w:ilvl w:val="0"/>
          <w:numId w:val="0"/>
        </w:numPr>
        <w:ind w:left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（四）国有资产占用情况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017年期末，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机关事务管理中心固定资产总额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180.09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万元，其中，房屋建筑物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0万元，车辆70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万元。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共有车辆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辆，其中：一般公务用车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辆，执法执勤车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辆；</w:t>
      </w:r>
      <w:r>
        <w:rPr>
          <w:rFonts w:hint="eastAsia" w:ascii="仿宋_GB2312" w:hAnsi="仿宋_GB2312" w:eastAsia="仿宋_GB2312" w:cs="仿宋_GB2312"/>
          <w:sz w:val="32"/>
          <w:szCs w:val="32"/>
        </w:rPr>
        <w:t>单价50万元以上通用设备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台（套），单位价值100万元以上专用设备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台（套）</w:t>
      </w:r>
      <w:r>
        <w:rPr>
          <w:rFonts w:hint="eastAsia" w:ascii="仿宋_GB2312" w:hAnsi="宋体" w:eastAsia="仿宋_GB2312" w:cs="仿宋_GB2312"/>
          <w:sz w:val="32"/>
          <w:szCs w:val="32"/>
        </w:rPr>
        <w:t>。</w:t>
      </w:r>
    </w:p>
    <w:p>
      <w:pPr>
        <w:widowControl/>
        <w:ind w:firstLine="624" w:firstLineChars="200"/>
        <w:jc w:val="left"/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eastAsia="zh-CN"/>
        </w:rPr>
        <w:t>五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）关于预算部门构成说明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按照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市</w:t>
      </w:r>
      <w:r>
        <w:rPr>
          <w:rFonts w:hint="eastAsia" w:ascii="仿宋_GB2312" w:hAnsi="仿宋_GB2312" w:eastAsia="仿宋_GB2312" w:cs="仿宋_GB2312"/>
          <w:sz w:val="32"/>
          <w:szCs w:val="32"/>
        </w:rPr>
        <w:t>财政预算公开要求，将所属预算单位全部纳入预算公开范围。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（根据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XX保密规定</w:t>
      </w:r>
      <w:r>
        <w:rPr>
          <w:rFonts w:hint="eastAsia" w:ascii="仿宋_GB2312" w:hAnsi="仿宋_GB2312" w:eastAsia="仿宋_GB2312" w:cs="仿宋_GB2312"/>
          <w:sz w:val="32"/>
          <w:szCs w:val="32"/>
        </w:rPr>
        <w:t>，201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部门预算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不予公开）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第三部分 名词解释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一、财政拨款收入：是指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市</w:t>
      </w:r>
      <w:r>
        <w:rPr>
          <w:rFonts w:hint="eastAsia" w:ascii="仿宋_GB2312" w:hAnsi="仿宋_GB2312" w:eastAsia="仿宋_GB2312" w:cs="仿宋_GB2312"/>
          <w:sz w:val="32"/>
          <w:szCs w:val="32"/>
        </w:rPr>
        <w:t>级财政当年拨付的资金。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二、事业收入：是指事业单位开展专业活动及辅助活动所取 得的收入。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三、其他收入：是指部门取得的除“财政拨款”、“事业收入”、“事业单位经营收入”等以外的收入。 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</w:rPr>
        <w:t>、基本支出：是指为保障机构正常运转、完成日常工作任务所必需的开支，其内容包括人员经费和日常公用经费两部分。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五</w:t>
      </w:r>
      <w:r>
        <w:rPr>
          <w:rFonts w:hint="eastAsia" w:ascii="仿宋_GB2312" w:hAnsi="仿宋_GB2312" w:eastAsia="仿宋_GB2312" w:cs="仿宋_GB2312"/>
          <w:sz w:val="32"/>
          <w:szCs w:val="32"/>
        </w:rPr>
        <w:t>、项目支出：是指在基本支出之外，为完成特定的行政工作任务或事业发展目标所发生的支出。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六</w:t>
      </w:r>
      <w:r>
        <w:rPr>
          <w:rFonts w:hint="eastAsia" w:ascii="仿宋_GB2312" w:hAnsi="仿宋_GB2312" w:eastAsia="仿宋_GB2312" w:cs="仿宋_GB2312"/>
          <w:sz w:val="32"/>
          <w:szCs w:val="32"/>
        </w:rPr>
        <w:t>、“三公”经费：是指纳入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市</w:t>
      </w:r>
      <w:r>
        <w:rPr>
          <w:rFonts w:hint="eastAsia" w:ascii="仿宋_GB2312" w:hAnsi="仿宋_GB2312" w:eastAsia="仿宋_GB2312" w:cs="仿宋_GB2312"/>
          <w:sz w:val="32"/>
          <w:szCs w:val="32"/>
        </w:rPr>
        <w:t>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  <w:lang w:eastAsia="zh-CN"/>
        </w:rPr>
        <w:t>七</w:t>
      </w:r>
      <w:r>
        <w:rPr>
          <w:rFonts w:hint="eastAsia" w:ascii="仿宋_GB2312" w:hAnsi="宋体" w:eastAsia="仿宋_GB2312" w:cs="Courier New"/>
          <w:sz w:val="32"/>
          <w:szCs w:val="32"/>
        </w:rPr>
        <w:t>、</w:t>
      </w:r>
      <w:r>
        <w:rPr>
          <w:rFonts w:hint="eastAsia" w:ascii="仿宋_GB2312" w:hAnsi="宋体" w:eastAsia="仿宋_GB2312" w:cs="Courier New"/>
          <w:sz w:val="32"/>
          <w:szCs w:val="32"/>
          <w:lang w:eastAsia="zh-CN"/>
        </w:rPr>
        <w:t>机关运行经费</w:t>
      </w:r>
      <w:r>
        <w:rPr>
          <w:rFonts w:hint="eastAsia" w:ascii="仿宋_GB2312" w:hAnsi="宋体" w:eastAsia="仿宋_GB2312" w:cs="Courier New"/>
          <w:sz w:val="32"/>
          <w:szCs w:val="32"/>
        </w:rPr>
        <w:t>：是指为保障行政</w:t>
      </w:r>
      <w:r>
        <w:rPr>
          <w:rFonts w:hint="eastAsia" w:ascii="仿宋_GB2312" w:hAnsi="仿宋_GB2312" w:eastAsia="仿宋_GB2312" w:cs="仿宋_GB2312"/>
          <w:sz w:val="32"/>
          <w:szCs w:val="32"/>
        </w:rPr>
        <w:t>机构正常运转及正常履职需要的办公费、水电费、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日常维修、</w:t>
      </w:r>
      <w:r>
        <w:rPr>
          <w:rFonts w:hint="eastAsia" w:ascii="仿宋_GB2312" w:hAnsi="仿宋_GB2312" w:eastAsia="仿宋_GB2312" w:cs="仿宋_GB2312"/>
          <w:sz w:val="32"/>
          <w:szCs w:val="32"/>
        </w:rPr>
        <w:t>物业费、维修费、差旅费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宋体" w:eastAsia="仿宋_GB2312" w:cs="Courier New"/>
          <w:sz w:val="32"/>
          <w:szCs w:val="32"/>
        </w:rPr>
        <w:t>公务用车运行维护费以及其他费用</w:t>
      </w:r>
      <w:r>
        <w:rPr>
          <w:rFonts w:hint="eastAsia" w:ascii="仿宋_GB2312" w:hAnsi="仿宋_GB2312" w:eastAsia="仿宋_GB2312" w:cs="仿宋_GB2312"/>
          <w:sz w:val="32"/>
          <w:szCs w:val="32"/>
        </w:rPr>
        <w:t>等支出。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八、其他（专业性较强的需向社会做出说明的名词）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</w:p>
    <w:p>
      <w:pPr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机关事务管理中心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年度部门预算表</w:t>
      </w:r>
    </w:p>
    <w:p>
      <w:pPr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object>
          <v:shape id="_x0000_i1025" o:spt="75" type="#_x0000_t75" style="height:65.4pt;width:72.6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xcel.Sheet.8" ShapeID="_x0000_i1025" DrawAspect="Icon" ObjectID="_1468075725" r:id="rId4">
            <o:LockedField>false</o:LockedField>
          </o:OLEObject>
        </w:objec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2018年8月6日</w:t>
      </w:r>
    </w:p>
    <w:sectPr>
      <w:pgSz w:w="11906" w:h="16838"/>
      <w:pgMar w:top="2154" w:right="1474" w:bottom="1757" w:left="1587" w:header="851" w:footer="992" w:gutter="0"/>
      <w:cols w:space="0" w:num="1"/>
      <w:rtlGutter w:val="0"/>
      <w:docGrid w:type="linesAndChars" w:linePitch="312" w:charSpace="-183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F6209B"/>
    <w:multiLevelType w:val="singleLevel"/>
    <w:tmpl w:val="2EF6209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5A4F2DAA"/>
    <w:multiLevelType w:val="singleLevel"/>
    <w:tmpl w:val="5A4F2DAA"/>
    <w:lvl w:ilvl="0" w:tentative="0">
      <w:start w:val="1"/>
      <w:numFmt w:val="chineseCounting"/>
      <w:suff w:val="nothing"/>
      <w:lvlText w:val="（%1）"/>
      <w:lvlJc w:val="left"/>
    </w:lvl>
  </w:abstractNum>
  <w:abstractNum w:abstractNumId="2">
    <w:nsid w:val="5A796DEC"/>
    <w:multiLevelType w:val="singleLevel"/>
    <w:tmpl w:val="5A796DEC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1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DD26A9"/>
    <w:rsid w:val="053618E4"/>
    <w:rsid w:val="07B27637"/>
    <w:rsid w:val="0BAC4E0E"/>
    <w:rsid w:val="0BFC12C2"/>
    <w:rsid w:val="0D6009E8"/>
    <w:rsid w:val="11E57D1D"/>
    <w:rsid w:val="1272042A"/>
    <w:rsid w:val="14176FFC"/>
    <w:rsid w:val="14E074A9"/>
    <w:rsid w:val="170A3FC4"/>
    <w:rsid w:val="17591265"/>
    <w:rsid w:val="191C254D"/>
    <w:rsid w:val="1D0C52ED"/>
    <w:rsid w:val="1FF570A4"/>
    <w:rsid w:val="20770ABE"/>
    <w:rsid w:val="20DD26A9"/>
    <w:rsid w:val="262C0377"/>
    <w:rsid w:val="2D97621C"/>
    <w:rsid w:val="31465386"/>
    <w:rsid w:val="349672A7"/>
    <w:rsid w:val="36D73E37"/>
    <w:rsid w:val="39841043"/>
    <w:rsid w:val="3997303D"/>
    <w:rsid w:val="39D32DA7"/>
    <w:rsid w:val="3C1C1FE4"/>
    <w:rsid w:val="3CD1764D"/>
    <w:rsid w:val="3F7C19DA"/>
    <w:rsid w:val="40442497"/>
    <w:rsid w:val="40D14CE8"/>
    <w:rsid w:val="41AD25DD"/>
    <w:rsid w:val="41D0424F"/>
    <w:rsid w:val="433D6B67"/>
    <w:rsid w:val="4A0C59CC"/>
    <w:rsid w:val="4BC00A7C"/>
    <w:rsid w:val="4D662DC1"/>
    <w:rsid w:val="52E0623F"/>
    <w:rsid w:val="52E359C2"/>
    <w:rsid w:val="542C42C7"/>
    <w:rsid w:val="547B337D"/>
    <w:rsid w:val="5966555F"/>
    <w:rsid w:val="5C682E60"/>
    <w:rsid w:val="5FB86371"/>
    <w:rsid w:val="5FC5627C"/>
    <w:rsid w:val="67545B2D"/>
    <w:rsid w:val="6E35646A"/>
    <w:rsid w:val="6EA86553"/>
    <w:rsid w:val="70763066"/>
    <w:rsid w:val="711E0931"/>
    <w:rsid w:val="731206FE"/>
    <w:rsid w:val="78093E65"/>
    <w:rsid w:val="7BEB39B7"/>
    <w:rsid w:val="7EFF751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2018-01-04T09:29:00Z</dcterms:created>
  <dc:creator>Administrator</dc:creator>
  <cp:lastModifiedBy>Lenovo</cp:lastModifiedBy>
  <cp:lastPrinted>2018-08-06T00:36:00Z</cp:lastPrinted>
  <dcterms:modified xsi:type="dcterms:W3CDTF">2019-02-26T09:25:46Z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2052-11.1.0.8391</vt:lpwstr>
  </property>
</Properties>
</file>