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黑体" w:hAnsi="宋体" w:eastAsia="黑体" w:cs="宋体"/>
          <w:kern w:val="0"/>
          <w:sz w:val="28"/>
          <w:szCs w:val="28"/>
        </w:rPr>
      </w:pPr>
    </w:p>
    <w:p>
      <w:pPr>
        <w:widowControl/>
        <w:jc w:val="left"/>
        <w:rPr>
          <w:rFonts w:hint="eastAsia" w:ascii="黑体" w:hAnsi="宋体" w:eastAsia="黑体" w:cs="宋体"/>
          <w:kern w:val="0"/>
          <w:sz w:val="28"/>
          <w:szCs w:val="28"/>
        </w:rPr>
      </w:pPr>
    </w:p>
    <w:p>
      <w:pPr>
        <w:widowControl/>
        <w:jc w:val="left"/>
        <w:rPr>
          <w:rFonts w:hint="eastAsia" w:ascii="黑体" w:hAnsi="宋体" w:eastAsia="黑体" w:cs="宋体"/>
          <w:kern w:val="0"/>
          <w:sz w:val="28"/>
          <w:szCs w:val="28"/>
        </w:rPr>
      </w:pPr>
    </w:p>
    <w:p>
      <w:pPr>
        <w:widowControl/>
        <w:jc w:val="left"/>
        <w:rPr>
          <w:rFonts w:hint="eastAsia" w:ascii="黑体" w:hAnsi="宋体" w:eastAsia="黑体" w:cs="宋体"/>
          <w:kern w:val="0"/>
          <w:sz w:val="28"/>
          <w:szCs w:val="28"/>
        </w:rPr>
      </w:pPr>
    </w:p>
    <w:p>
      <w:pPr>
        <w:widowControl/>
        <w:jc w:val="left"/>
        <w:rPr>
          <w:rFonts w:hint="eastAsia" w:ascii="黑体" w:hAnsi="宋体" w:eastAsia="黑体" w:cs="宋体"/>
          <w:kern w:val="0"/>
          <w:sz w:val="28"/>
          <w:szCs w:val="28"/>
        </w:rPr>
      </w:pPr>
    </w:p>
    <w:p>
      <w:pPr>
        <w:jc w:val="center"/>
        <w:rPr>
          <w:rFonts w:hint="eastAsia" w:ascii="黑体" w:hAnsi="黑体" w:eastAsia="黑体" w:cs="黑体"/>
          <w:sz w:val="52"/>
          <w:szCs w:val="52"/>
        </w:rPr>
      </w:pPr>
      <w:r>
        <w:rPr>
          <w:rFonts w:hint="eastAsia" w:ascii="黑体" w:hAnsi="黑体" w:eastAsia="黑体" w:cs="黑体"/>
          <w:sz w:val="52"/>
          <w:szCs w:val="52"/>
        </w:rPr>
        <w:t>河南省焦作市监察局驻市高新技术</w:t>
      </w:r>
    </w:p>
    <w:p>
      <w:pPr>
        <w:jc w:val="center"/>
        <w:rPr>
          <w:rFonts w:hint="eastAsia" w:ascii="黑体" w:hAnsi="黑体" w:eastAsia="黑体" w:cs="黑体"/>
          <w:sz w:val="52"/>
          <w:szCs w:val="52"/>
        </w:rPr>
      </w:pPr>
      <w:r>
        <w:rPr>
          <w:rFonts w:hint="eastAsia" w:ascii="黑体" w:hAnsi="黑体" w:eastAsia="黑体" w:cs="黑体"/>
          <w:sz w:val="52"/>
          <w:szCs w:val="52"/>
        </w:rPr>
        <w:t>产业开发区监察室</w:t>
      </w:r>
    </w:p>
    <w:p>
      <w:pPr>
        <w:jc w:val="center"/>
        <w:rPr>
          <w:rFonts w:hint="eastAsia" w:ascii="黑体" w:hAnsi="黑体" w:eastAsia="黑体" w:cs="黑体"/>
          <w:sz w:val="52"/>
          <w:szCs w:val="52"/>
        </w:rPr>
      </w:pPr>
      <w:r>
        <w:rPr>
          <w:rFonts w:hint="eastAsia" w:ascii="黑体" w:hAnsi="黑体" w:eastAsia="黑体" w:cs="黑体"/>
          <w:sz w:val="52"/>
          <w:szCs w:val="52"/>
        </w:rPr>
        <w:t>201</w:t>
      </w:r>
      <w:r>
        <w:rPr>
          <w:rFonts w:hint="eastAsia" w:ascii="黑体" w:hAnsi="黑体" w:eastAsia="黑体" w:cs="黑体"/>
          <w:sz w:val="52"/>
          <w:szCs w:val="52"/>
          <w:lang w:val="en-US" w:eastAsia="zh-CN"/>
        </w:rPr>
        <w:t>8</w:t>
      </w:r>
      <w:r>
        <w:rPr>
          <w:rFonts w:hint="eastAsia" w:ascii="黑体" w:hAnsi="黑体" w:eastAsia="黑体" w:cs="黑体"/>
          <w:sz w:val="52"/>
          <w:szCs w:val="52"/>
        </w:rPr>
        <w:t>年度部门</w:t>
      </w:r>
      <w:r>
        <w:rPr>
          <w:rFonts w:hint="eastAsia" w:ascii="黑体" w:hAnsi="黑体" w:eastAsia="黑体" w:cs="黑体"/>
          <w:sz w:val="52"/>
          <w:szCs w:val="52"/>
          <w:lang w:eastAsia="zh-CN"/>
        </w:rPr>
        <w:t>预</w:t>
      </w:r>
      <w:r>
        <w:rPr>
          <w:rFonts w:hint="eastAsia" w:ascii="黑体" w:hAnsi="黑体" w:eastAsia="黑体" w:cs="黑体"/>
          <w:sz w:val="52"/>
          <w:szCs w:val="52"/>
        </w:rPr>
        <w:t>算</w:t>
      </w:r>
    </w:p>
    <w:p>
      <w:pPr>
        <w:jc w:val="center"/>
        <w:rPr>
          <w:rFonts w:hint="eastAsia" w:ascii="黑体" w:hAnsi="黑体" w:eastAsia="黑体" w:cs="黑体"/>
          <w:sz w:val="52"/>
          <w:szCs w:val="52"/>
        </w:rPr>
      </w:pPr>
    </w:p>
    <w:p>
      <w:pPr>
        <w:jc w:val="center"/>
        <w:rPr>
          <w:rFonts w:hint="eastAsia" w:ascii="黑体" w:hAnsi="黑体" w:eastAsia="黑体" w:cs="黑体"/>
          <w:sz w:val="52"/>
          <w:szCs w:val="52"/>
        </w:rPr>
      </w:pPr>
    </w:p>
    <w:p>
      <w:pPr>
        <w:jc w:val="center"/>
        <w:rPr>
          <w:rFonts w:hint="eastAsia" w:ascii="黑体" w:hAnsi="黑体" w:eastAsia="黑体" w:cs="黑体"/>
          <w:sz w:val="52"/>
          <w:szCs w:val="52"/>
        </w:rPr>
      </w:pPr>
    </w:p>
    <w:p>
      <w:pPr>
        <w:jc w:val="center"/>
        <w:rPr>
          <w:rFonts w:hint="eastAsia" w:ascii="黑体" w:hAnsi="黑体" w:eastAsia="黑体" w:cs="黑体"/>
          <w:sz w:val="52"/>
          <w:szCs w:val="52"/>
        </w:rPr>
      </w:pPr>
    </w:p>
    <w:p>
      <w:pPr>
        <w:jc w:val="center"/>
        <w:rPr>
          <w:rFonts w:hint="eastAsia" w:ascii="黑体" w:hAnsi="黑体" w:eastAsia="黑体" w:cs="黑体"/>
          <w:sz w:val="52"/>
          <w:szCs w:val="52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adjustRightInd w:val="0"/>
        <w:snapToGrid w:val="0"/>
        <w:spacing w:line="360" w:lineRule="auto"/>
        <w:jc w:val="both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left="101" w:right="3569"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left="-142" w:right="51" w:firstLine="30" w:firstLineChars="7"/>
        <w:jc w:val="center"/>
        <w:rPr>
          <w:rFonts w:hint="eastAsia" w:ascii="仿宋_GB2312" w:hAnsi="仿宋_GB2312" w:eastAsia="仿宋_GB2312" w:cs="仿宋_GB2312"/>
          <w:sz w:val="44"/>
          <w:szCs w:val="44"/>
        </w:rPr>
      </w:pPr>
      <w:r>
        <w:rPr>
          <w:rFonts w:hint="eastAsia" w:ascii="仿宋_GB2312" w:hAnsi="仿宋_GB2312" w:eastAsia="仿宋_GB2312" w:cs="仿宋_GB2312"/>
          <w:sz w:val="44"/>
          <w:szCs w:val="44"/>
        </w:rPr>
        <w:t>目</w:t>
      </w:r>
      <w:r>
        <w:rPr>
          <w:rFonts w:hint="eastAsia" w:ascii="仿宋_GB2312" w:hAnsi="仿宋_GB2312" w:eastAsia="仿宋_GB2312" w:cs="仿宋_GB2312"/>
          <w:spacing w:val="2"/>
          <w:sz w:val="44"/>
          <w:szCs w:val="44"/>
        </w:rPr>
        <w:t xml:space="preserve"> </w:t>
      </w:r>
      <w:r>
        <w:rPr>
          <w:rFonts w:hint="eastAsia" w:ascii="仿宋_GB2312" w:hAnsi="仿宋_GB2312" w:eastAsia="仿宋_GB2312" w:cs="仿宋_GB2312"/>
          <w:sz w:val="44"/>
          <w:szCs w:val="44"/>
        </w:rPr>
        <w:t>录</w:t>
      </w:r>
    </w:p>
    <w:p>
      <w:pPr>
        <w:kinsoku w:val="0"/>
        <w:overflowPunct w:val="0"/>
        <w:adjustRightInd w:val="0"/>
        <w:snapToGrid w:val="0"/>
        <w:spacing w:line="360" w:lineRule="auto"/>
        <w:ind w:right="3569" w:firstLine="624" w:firstLineChars="200"/>
        <w:rPr>
          <w:rFonts w:hint="eastAsia" w:ascii="仿宋_GB2312" w:hAnsi="仿宋_GB2312" w:eastAsia="仿宋_GB2312" w:cs="仿宋_GB2312"/>
          <w:w w:val="99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第一部分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概况</w:t>
      </w:r>
      <w:r>
        <w:rPr>
          <w:rFonts w:hint="eastAsia" w:ascii="仿宋_GB2312" w:hAnsi="仿宋_GB2312" w:eastAsia="仿宋_GB2312" w:cs="仿宋_GB2312"/>
          <w:w w:val="99"/>
          <w:sz w:val="32"/>
          <w:szCs w:val="32"/>
        </w:rPr>
        <w:t xml:space="preserve"> </w:t>
      </w:r>
    </w:p>
    <w:p>
      <w:pPr>
        <w:kinsoku w:val="0"/>
        <w:overflowPunct w:val="0"/>
        <w:adjustRightInd w:val="0"/>
        <w:snapToGrid w:val="0"/>
        <w:spacing w:line="360" w:lineRule="auto"/>
        <w:ind w:right="3569" w:firstLine="936" w:firstLineChars="3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一、主要职能</w:t>
      </w:r>
    </w:p>
    <w:p>
      <w:pPr>
        <w:kinsoku w:val="0"/>
        <w:overflowPunct w:val="0"/>
        <w:adjustRightInd w:val="0"/>
        <w:snapToGrid w:val="0"/>
        <w:spacing w:line="360" w:lineRule="auto"/>
        <w:ind w:right="3569" w:firstLine="936" w:firstLineChars="3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二、部门预算单位构成</w:t>
      </w:r>
    </w:p>
    <w:p>
      <w:pPr>
        <w:kinsoku w:val="0"/>
        <w:overflowPunct w:val="0"/>
        <w:adjustRightInd w:val="0"/>
        <w:snapToGrid w:val="0"/>
        <w:spacing w:line="360" w:lineRule="auto"/>
        <w:ind w:right="521" w:firstLine="624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第二部门高新技术产业开发区监察室2018年部门预算情况说明</w:t>
      </w:r>
    </w:p>
    <w:p>
      <w:pPr>
        <w:kinsoku w:val="0"/>
        <w:overflowPunct w:val="0"/>
        <w:adjustRightInd w:val="0"/>
        <w:snapToGrid w:val="0"/>
        <w:spacing w:line="360" w:lineRule="auto"/>
        <w:ind w:right="521" w:firstLine="624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第三部分 名词解释</w:t>
      </w:r>
    </w:p>
    <w:p>
      <w:pPr>
        <w:kinsoku w:val="0"/>
        <w:overflowPunct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</w:t>
      </w:r>
      <w:r>
        <w:rPr>
          <w:rFonts w:hint="eastAsia" w:ascii="仿宋_GB2312" w:hAnsi="仿宋_GB2312" w:eastAsia="仿宋_GB2312" w:cs="仿宋_GB2312"/>
          <w:spacing w:val="-3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高新技术产业开发区监察室2018</w:t>
      </w:r>
      <w:r>
        <w:rPr>
          <w:rFonts w:hint="eastAsia" w:ascii="仿宋_GB2312" w:hAnsi="仿宋_GB2312" w:eastAsia="仿宋_GB2312" w:cs="仿宋_GB2312"/>
          <w:spacing w:val="-116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年度部门预算表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一、部门收支总体情况表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二、部门收入总体情况表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三、部门支出总体情况表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四、财政拨款收支总体情况表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五、一般公共预算支出情况表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六、一般公共预算基本支出情况表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七、一般公共预算“三公”经费支出情况表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八、政府性基金预算支出情况表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九、国有资本经营预算收支情况表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十、机关运行经费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1872" w:firstLineChars="6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十一、预算项目支出绩效目标表</w:t>
      </w:r>
    </w:p>
    <w:p>
      <w:pPr>
        <w:adjustRightInd w:val="0"/>
        <w:snapToGrid w:val="0"/>
        <w:spacing w:line="360" w:lineRule="auto"/>
        <w:ind w:firstLine="3744" w:firstLineChars="1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3744" w:firstLineChars="120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3744" w:firstLineChars="120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第一部分</w:t>
      </w:r>
    </w:p>
    <w:p>
      <w:pPr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高新技术产业开发区监察室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概况</w:t>
      </w:r>
    </w:p>
    <w:p>
      <w:pPr>
        <w:adjustRightInd w:val="0"/>
        <w:snapToGrid w:val="0"/>
        <w:spacing w:line="360" w:lineRule="auto"/>
        <w:ind w:firstLine="624" w:firstLineChars="20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numPr>
          <w:ilvl w:val="0"/>
          <w:numId w:val="1"/>
        </w:numPr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主要职能</w:t>
      </w:r>
    </w:p>
    <w:p>
      <w:pPr>
        <w:numPr>
          <w:ilvl w:val="0"/>
          <w:numId w:val="2"/>
        </w:numPr>
        <w:kinsoku w:val="0"/>
        <w:overflowPunct w:val="0"/>
        <w:adjustRightInd w:val="0"/>
        <w:snapToGrid w:val="0"/>
        <w:spacing w:line="360" w:lineRule="auto"/>
        <w:ind w:right="3569" w:firstLine="624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机构设置情况</w:t>
      </w:r>
    </w:p>
    <w:p>
      <w:pPr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焦作市监察局驻市高新技术产业开发区监察室，为国家行政机关，财务隶属关系为一级单位，实有工作人员4人，其中正科级人员4名，退休人员1人，经费供给方式为示范区财政全额拨付。</w:t>
      </w:r>
    </w:p>
    <w:p>
      <w:pPr>
        <w:numPr>
          <w:ilvl w:val="0"/>
          <w:numId w:val="2"/>
        </w:numPr>
        <w:kinsoku w:val="0"/>
        <w:overflowPunct w:val="0"/>
        <w:adjustRightInd w:val="0"/>
        <w:snapToGrid w:val="0"/>
        <w:spacing w:line="360" w:lineRule="auto"/>
        <w:ind w:right="3569" w:firstLine="624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部门职责</w:t>
      </w:r>
    </w:p>
    <w:p>
      <w:pPr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1、主管党的纪律检查工作；负责贯彻落实区党工委关于加强党风廉政建设的决定，维护党的章程和其它党内法规，检查党的路线、方针、政策和决议的执行情况。 </w:t>
      </w:r>
    </w:p>
    <w:p>
      <w:pPr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2、负责检查并处理党员领导干部违反党的章程及其它党内法规的案件，决定或取消对这些案件的党员的处分；受理党员的控告和申诉。 </w:t>
      </w:r>
    </w:p>
    <w:p>
      <w:pPr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3、受理党员的控告和申诉。</w:t>
      </w:r>
    </w:p>
    <w:p>
      <w:pPr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4、保障党员的权利。</w:t>
      </w:r>
    </w:p>
    <w:p>
      <w:pPr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5、接受上级党的纪检部门和本级党工委、管委会交办的其他任务。</w:t>
      </w:r>
    </w:p>
    <w:p>
      <w:pPr>
        <w:kinsoku w:val="0"/>
        <w:overflowPunct w:val="0"/>
        <w:adjustRightInd w:val="0"/>
        <w:snapToGrid w:val="0"/>
        <w:spacing w:line="240" w:lineRule="auto"/>
        <w:ind w:right="0" w:firstLine="624" w:firstLineChars="200"/>
        <w:jc w:val="both"/>
        <w:outlineLvl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、高新技术产业开发区监察室预算单位构成</w:t>
      </w:r>
    </w:p>
    <w:p>
      <w:pPr>
        <w:spacing w:line="556" w:lineRule="exact"/>
        <w:ind w:firstLine="624" w:firstLineChars="200"/>
        <w:rPr>
          <w:rFonts w:hint="eastAsia" w:ascii="仿宋_GB2312" w:hAnsi="楷体_GB2312" w:eastAsia="仿宋_GB2312" w:cs="楷体_GB2312"/>
          <w:b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高新技术产业开发区监察室无下设单位，</w:t>
      </w:r>
      <w:r>
        <w:rPr>
          <w:rFonts w:hint="eastAsia" w:ascii="仿宋_GB2312" w:eastAsia="仿宋_GB2312"/>
          <w:sz w:val="32"/>
          <w:szCs w:val="32"/>
        </w:rPr>
        <w:t>经费供给方式为全供。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2018年预算为本级预算。</w:t>
      </w:r>
    </w:p>
    <w:p>
      <w:pPr>
        <w:widowControl/>
        <w:shd w:val="clear" w:color="auto" w:fill="FFFFFF"/>
        <w:spacing w:line="450" w:lineRule="atLeast"/>
        <w:ind w:firstLine="3438" w:firstLineChars="1102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widowControl/>
        <w:shd w:val="clear" w:color="auto" w:fill="FFFFFF"/>
        <w:spacing w:line="450" w:lineRule="atLeast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第二部分</w:t>
      </w:r>
    </w:p>
    <w:p>
      <w:pPr>
        <w:widowControl/>
        <w:shd w:val="clear" w:color="auto" w:fill="FFFFFF"/>
        <w:spacing w:line="450" w:lineRule="atLeast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高新技术产业开发区监察室2018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年度部门预算情况说明</w:t>
      </w:r>
    </w:p>
    <w:p>
      <w:pPr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一、收入支出预算总体情况说明</w:t>
      </w:r>
    </w:p>
    <w:p>
      <w:pPr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高新技术产业开发区监察室2018年收入124.32万元，支出总计124.32万元，与2017年相比，收、支总计各增加27.6万元、27.6万元，增长22.2%、22.2%。主要原因：人员经费增加和部分项目预算增加。  </w:t>
      </w:r>
    </w:p>
    <w:p>
      <w:pPr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二、收入预算总体情况说明</w:t>
      </w:r>
    </w:p>
    <w:p>
      <w:pPr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高新技术产业开发区监察室2018年收入合计124.32万元，其中：一般公共预算收入124.32万元; 政府性基金预算收入0万元；国有资本经营预算收入0万元；其他收入0万元。 </w:t>
      </w:r>
    </w:p>
    <w:p>
      <w:pPr>
        <w:spacing w:line="560" w:lineRule="exact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三、支出预算总体情况说明</w:t>
      </w:r>
    </w:p>
    <w:p>
      <w:pPr>
        <w:spacing w:line="560" w:lineRule="exact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高新技术产业开发区监察室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支出合计124.32万元，其中：基本支出79.32万元，占63.8%；项目支出45万元，占36.2%。 </w:t>
      </w:r>
    </w:p>
    <w:p>
      <w:pPr>
        <w:spacing w:line="560" w:lineRule="exact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四、财政拨款收入支出预算总体情况说明</w:t>
      </w:r>
    </w:p>
    <w:p>
      <w:pPr>
        <w:spacing w:line="560" w:lineRule="exact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高新技术产业开发区监察室2018年一般公共预算收支预算124.32万元。政府性基金收支预算0万元，与 2017年相比，一般公共预算收支预算增加27.6万元，增长22.2%，主要原因：主要原因：人员经费增加和部分项目预算增加。无政府性基金预算。</w:t>
      </w:r>
    </w:p>
    <w:p>
      <w:pPr>
        <w:spacing w:line="560" w:lineRule="exact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五、一般公共预算支出预算情况说明</w:t>
      </w:r>
    </w:p>
    <w:p>
      <w:pPr>
        <w:widowControl/>
        <w:ind w:firstLine="622"/>
        <w:jc w:val="left"/>
        <w:rPr>
          <w:rFonts w:hint="eastAsia" w:ascii="仿宋_GB2312" w:hAnsi="仿宋_GB2312" w:eastAsia="仿宋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高新技术产业开发区监察室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年一般公共预算支出年初预算为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124.32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万元。主要用于以下方面：一般公共服务支出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116.07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93</w:t>
      </w:r>
      <w:r>
        <w:rPr>
          <w:rFonts w:hint="eastAsia" w:ascii="仿宋_GB2312" w:hAnsi="仿宋_GB2312" w:eastAsia="仿宋_GB2312" w:cs="仿宋_GB2312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;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zCs w:val="32"/>
          <w:shd w:val="clear" w:color="050000" w:fill="auto"/>
        </w:rPr>
        <w:t>社会保障和就业支出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zCs w:val="32"/>
          <w:shd w:val="clear" w:color="050000" w:fill="auto"/>
          <w:lang w:val="en-US" w:eastAsia="zh-CN"/>
        </w:rPr>
        <w:t>8.25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zCs w:val="32"/>
          <w:shd w:val="clear" w:color="050000" w:fill="auto"/>
        </w:rPr>
        <w:t>万元，占7%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zCs w:val="32"/>
          <w:shd w:val="clear" w:color="050000" w:fill="auto"/>
          <w:lang w:eastAsia="zh-CN"/>
        </w:rPr>
        <w:t>。</w:t>
      </w:r>
    </w:p>
    <w:p>
      <w:pPr>
        <w:spacing w:line="560" w:lineRule="exact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六、一般公共预算基本支出预算情况说明</w:t>
      </w:r>
    </w:p>
    <w:p>
      <w:pPr>
        <w:widowControl/>
        <w:ind w:firstLine="622"/>
        <w:jc w:val="left"/>
        <w:rPr>
          <w:rFonts w:hint="eastAsia" w:ascii="仿宋_GB2312" w:hAnsi="仿宋_GB2312" w:eastAsia="仿宋_GB2312" w:cs="仿宋_GB2312"/>
          <w:color w:val="FF0000"/>
          <w:kern w:val="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高新技术产业开发区监察室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年一般公共预算基本支出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79.32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</w:t>
      </w:r>
      <w:r>
        <w:rPr>
          <w:rFonts w:hint="eastAsia" w:ascii="仿宋_GB2312" w:hAnsi="仿宋_GB2312" w:eastAsia="仿宋_GB2312" w:cs="仿宋_GB2312"/>
          <w:b/>
          <w:bCs w:val="0"/>
          <w:spacing w:val="-1"/>
          <w:kern w:val="0"/>
          <w:sz w:val="32"/>
          <w:szCs w:val="32"/>
        </w:rPr>
        <w:t>人员经费</w:t>
      </w:r>
      <w:r>
        <w:rPr>
          <w:rFonts w:hint="eastAsia" w:ascii="仿宋_GB2312" w:hAnsi="仿宋_GB2312" w:eastAsia="仿宋_GB2312" w:cs="仿宋_GB2312"/>
          <w:b/>
          <w:bCs w:val="0"/>
          <w:kern w:val="0"/>
          <w:sz w:val="32"/>
          <w:szCs w:val="32"/>
          <w:lang w:val="en-US" w:eastAsia="zh-CN"/>
        </w:rPr>
        <w:t>73.44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基本工资、津贴补贴、奖金、机关事业单位基本养老保险缴费、职业年金缴费、医疗保险缴费、其他社会保障缴费、住房公积金、福利费、其他工资福利支出、退休费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等支出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；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公用经费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  <w:t>5.88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，主要包括：办公费、水费、电费、邮电费、差旅费、维修（护）费、租赁费、培训费、公务接待费、专用材料费、其他商品和服务支出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等支出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</w:t>
      </w:r>
    </w:p>
    <w:p>
      <w:pPr>
        <w:spacing w:line="560" w:lineRule="exact"/>
        <w:ind w:firstLine="624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七、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政府性基金预算支出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预算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情况说明</w:t>
      </w:r>
    </w:p>
    <w:p>
      <w:pPr>
        <w:spacing w:line="560" w:lineRule="exact"/>
        <w:ind w:firstLine="624" w:firstLineChars="200"/>
        <w:outlineLvl w:val="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我单位2018年没有使用政府性基金预算拨款安排的支出。</w:t>
      </w:r>
    </w:p>
    <w:p>
      <w:pPr>
        <w:spacing w:line="560" w:lineRule="exact"/>
        <w:ind w:firstLine="624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八、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国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有资本经营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预算支出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算情况说明</w:t>
      </w:r>
    </w:p>
    <w:p>
      <w:pPr>
        <w:spacing w:line="560" w:lineRule="exact"/>
        <w:ind w:firstLine="624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我单位2018年没有使用国有资本经营预算拨款安排的支出。</w:t>
      </w:r>
    </w:p>
    <w:p>
      <w:pPr>
        <w:spacing w:line="560" w:lineRule="exact"/>
        <w:ind w:firstLine="624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九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、“三公”经费支出预算情况说明</w:t>
      </w:r>
    </w:p>
    <w:p>
      <w:pPr>
        <w:spacing w:line="560" w:lineRule="exact"/>
        <w:ind w:firstLine="624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高新技术产业开发区监察室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 年“三公”经费预算为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0.31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比 201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年预算数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减少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0.8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，下降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72%,主要原因：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深入贯彻中央“八项规定”精神等工作要求，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大力压缩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“三公”经费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。</w:t>
      </w:r>
    </w:p>
    <w:p>
      <w:pPr>
        <w:spacing w:line="560" w:lineRule="exact"/>
        <w:ind w:firstLine="624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具体支出情况如下：</w:t>
      </w:r>
    </w:p>
    <w:p>
      <w:pPr>
        <w:numPr>
          <w:ilvl w:val="0"/>
          <w:numId w:val="3"/>
        </w:num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left="0" w:leftChars="0" w:firstLine="62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pacing w:val="-1"/>
          <w:kern w:val="0"/>
          <w:sz w:val="32"/>
          <w:szCs w:val="32"/>
        </w:rPr>
        <w:t>因公出国（境）费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万元，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与2017年持平。</w:t>
      </w:r>
    </w:p>
    <w:p>
      <w:pPr>
        <w:numPr>
          <w:ilvl w:val="0"/>
          <w:numId w:val="3"/>
        </w:num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left="0" w:leftChars="0" w:firstLine="62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pacing w:val="-1"/>
          <w:kern w:val="0"/>
          <w:sz w:val="32"/>
          <w:szCs w:val="32"/>
        </w:rPr>
        <w:t>公务用车购置及运行费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</w:t>
      </w:r>
      <w:r>
        <w:rPr>
          <w:rFonts w:hint="eastAsia" w:ascii="仿宋_GB2312" w:hAnsi="仿宋_GB2312" w:eastAsia="仿宋_GB2312" w:cs="仿宋_GB2312"/>
          <w:sz w:val="32"/>
          <w:szCs w:val="32"/>
        </w:rPr>
        <w:t>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与2017年持平。</w:t>
      </w:r>
    </w:p>
    <w:p>
      <w:pPr>
        <w:numPr>
          <w:ilvl w:val="0"/>
          <w:numId w:val="3"/>
        </w:num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left="0" w:leftChars="0" w:firstLine="624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公务接待费0.31万元，主要用于办案期间、节假日加班用餐等，比2017年预算数减少0.8万元，下降72%，主要原因：深入贯彻中央“八项规定”精神等工作要求，大力压缩“三公”经费。</w:t>
      </w:r>
    </w:p>
    <w:p>
      <w:pPr>
        <w:numPr>
          <w:ilvl w:val="0"/>
          <w:numId w:val="0"/>
        </w:num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left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十、其他重要事项的情况说明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 w:val="32"/>
          <w:szCs w:val="32"/>
        </w:rPr>
        <w:t>（一）</w:t>
      </w:r>
      <w:r>
        <w:rPr>
          <w:rFonts w:hint="eastAsia" w:ascii="仿宋_GB2312" w:hAnsi="仿宋_GB2312" w:eastAsia="仿宋_GB2312" w:cs="仿宋_GB2312"/>
          <w:b/>
          <w:color w:val="auto"/>
          <w:kern w:val="0"/>
          <w:sz w:val="32"/>
          <w:szCs w:val="32"/>
          <w:lang w:eastAsia="zh-CN"/>
        </w:rPr>
        <w:t>机关运行经费支出</w:t>
      </w:r>
      <w:r>
        <w:rPr>
          <w:rFonts w:hint="eastAsia" w:ascii="仿宋_GB2312" w:hAnsi="仿宋_GB2312" w:eastAsia="仿宋_GB2312" w:cs="仿宋_GB2312"/>
          <w:b/>
          <w:color w:val="auto"/>
          <w:kern w:val="0"/>
          <w:sz w:val="32"/>
          <w:szCs w:val="32"/>
        </w:rPr>
        <w:t>情况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高新技术产业开发区监察室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机关运行经费支出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预算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5.88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万元，主要保障机关机构正常运转及正常履职需要的办公费、水电费、物业费、维修费、差旅费等支出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2017年减少2.83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万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A3535"/>
          <w:spacing w:val="0"/>
          <w:sz w:val="32"/>
          <w:szCs w:val="32"/>
          <w:shd w:val="clear" w:color="080000" w:fill="FFFFFF"/>
          <w:lang w:eastAsia="zh-CN"/>
        </w:rPr>
        <w:t>元，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A3535"/>
          <w:spacing w:val="0"/>
          <w:sz w:val="32"/>
          <w:szCs w:val="32"/>
          <w:shd w:val="clear" w:color="080000" w:fill="FFFFFF"/>
          <w:lang w:val="en-US" w:eastAsia="zh-CN"/>
        </w:rPr>
        <w:t>主要原因：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A3535"/>
          <w:spacing w:val="0"/>
          <w:sz w:val="32"/>
          <w:szCs w:val="32"/>
          <w:shd w:val="clear" w:color="080000" w:fill="FFFFFF"/>
        </w:rPr>
        <w:t>深入贯彻中央“八项规定”精神等工作要求，严格控制行政成本，大力压缩经费支出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（二）政府采购支出情况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年政府采购预算安排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政府采购货物预算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,政府采购工程预算10万元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outlineLvl w:val="0"/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（三）关于预算绩效管理工作开展情况说明</w:t>
      </w:r>
    </w:p>
    <w:p>
      <w:pPr>
        <w:numPr>
          <w:ilvl w:val="0"/>
          <w:numId w:val="0"/>
        </w:numPr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2017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,我部门对1</w:t>
      </w:r>
      <w:r>
        <w:rPr>
          <w:rFonts w:hint="eastAsia" w:ascii="仿宋_GB2312" w:hAnsi="仿宋_GB2312" w:eastAsia="仿宋_GB2312" w:cs="仿宋_GB2312"/>
          <w:sz w:val="32"/>
          <w:szCs w:val="32"/>
        </w:rPr>
        <w:t>个项目进行了预算绩效评价，涉及资金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2018年，我部门纳入预算绩效管理的支出总额为124.32万元，其中人员经费支出73.44万元，公用经费支出5.88万元，支出项目共7个，支出总额45万元，其中预算支出100万元及100万元以上项目0个，支出总额0万元。 </w:t>
      </w:r>
    </w:p>
    <w:p>
      <w:pPr>
        <w:numPr>
          <w:ilvl w:val="0"/>
          <w:numId w:val="0"/>
        </w:numPr>
        <w:ind w:left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（四）国有资产占用情况</w:t>
      </w:r>
    </w:p>
    <w:p>
      <w:pPr>
        <w:widowControl/>
        <w:spacing w:line="360" w:lineRule="auto"/>
        <w:ind w:firstLine="624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017年期末，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高新技术产业开发区监察室固定资产总额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71.88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万元，其中，房屋建筑物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0万元，车辆52.97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万元；其他办公设备等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18.91万元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共有车辆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辆，其中：一般公务用车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辆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（因公车改革，所有车辆已全部上缴我区车改办统一管理）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，无单价50万元以上通用设备及单价100万元以上专用设备。</w:t>
      </w:r>
    </w:p>
    <w:p>
      <w:pPr>
        <w:widowControl/>
        <w:ind w:firstLine="624" w:firstLineChars="200"/>
        <w:jc w:val="left"/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eastAsia="zh-CN"/>
        </w:rPr>
        <w:t>五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）关于预算部门构成说明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按照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区</w:t>
      </w:r>
      <w:r>
        <w:rPr>
          <w:rFonts w:hint="eastAsia" w:ascii="仿宋_GB2312" w:hAnsi="仿宋_GB2312" w:eastAsia="仿宋_GB2312" w:cs="仿宋_GB2312"/>
          <w:sz w:val="32"/>
          <w:szCs w:val="32"/>
        </w:rPr>
        <w:t>财政预算公开要求，将所属预算单位全部纳入预算公开范围。</w:t>
      </w:r>
    </w:p>
    <w:p>
      <w:pPr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第三部分 名词解释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一、财政拨款收入：是指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区</w:t>
      </w:r>
      <w:r>
        <w:rPr>
          <w:rFonts w:hint="eastAsia" w:ascii="仿宋_GB2312" w:hAnsi="仿宋_GB2312" w:eastAsia="仿宋_GB2312" w:cs="仿宋_GB2312"/>
          <w:sz w:val="32"/>
          <w:szCs w:val="32"/>
        </w:rPr>
        <w:t>级财政当年拨付的资金。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二、事业收入：是指事业单位开展专业活动及辅助活动所取 得的收入。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三、其他收入：是指部门取得的除“财政拨款”、“事业收入”、“事业单位经营收入”等以外的收入。 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</w:rPr>
        <w:t>、基本支出：是指为保障机构正常运转、完成日常工作任务所必需的开支，其内容包括人员经费和日常公用经费两部分。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五</w:t>
      </w:r>
      <w:r>
        <w:rPr>
          <w:rFonts w:hint="eastAsia" w:ascii="仿宋_GB2312" w:hAnsi="仿宋_GB2312" w:eastAsia="仿宋_GB2312" w:cs="仿宋_GB2312"/>
          <w:sz w:val="32"/>
          <w:szCs w:val="32"/>
        </w:rPr>
        <w:t>、项目支出：是指在基本支出之外，为完成特定的行政工作任务或事业发展目标所发生的支出。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六</w:t>
      </w:r>
      <w:r>
        <w:rPr>
          <w:rFonts w:hint="eastAsia" w:ascii="仿宋_GB2312" w:hAnsi="仿宋_GB2312" w:eastAsia="仿宋_GB2312" w:cs="仿宋_GB2312"/>
          <w:sz w:val="32"/>
          <w:szCs w:val="32"/>
        </w:rPr>
        <w:t>、“三公”经费：是指纳入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区</w:t>
      </w:r>
      <w:r>
        <w:rPr>
          <w:rFonts w:hint="eastAsia" w:ascii="仿宋_GB2312" w:hAnsi="仿宋_GB2312" w:eastAsia="仿宋_GB2312" w:cs="仿宋_GB2312"/>
          <w:sz w:val="32"/>
          <w:szCs w:val="32"/>
        </w:rPr>
        <w:t>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  <w:lang w:eastAsia="zh-CN"/>
        </w:rPr>
        <w:t>七</w:t>
      </w:r>
      <w:r>
        <w:rPr>
          <w:rFonts w:hint="eastAsia" w:ascii="仿宋_GB2312" w:hAnsi="宋体" w:eastAsia="仿宋_GB2312" w:cs="Courier New"/>
          <w:sz w:val="32"/>
          <w:szCs w:val="32"/>
        </w:rPr>
        <w:t>、</w:t>
      </w:r>
      <w:r>
        <w:rPr>
          <w:rFonts w:hint="eastAsia" w:ascii="仿宋_GB2312" w:hAnsi="宋体" w:eastAsia="仿宋_GB2312" w:cs="Courier New"/>
          <w:sz w:val="32"/>
          <w:szCs w:val="32"/>
          <w:lang w:eastAsia="zh-CN"/>
        </w:rPr>
        <w:t>机关运行经费</w:t>
      </w:r>
      <w:r>
        <w:rPr>
          <w:rFonts w:hint="eastAsia" w:ascii="仿宋_GB2312" w:hAnsi="宋体" w:eastAsia="仿宋_GB2312" w:cs="Courier New"/>
          <w:sz w:val="32"/>
          <w:szCs w:val="32"/>
        </w:rPr>
        <w:t>：是指为保障行政</w:t>
      </w:r>
      <w:r>
        <w:rPr>
          <w:rFonts w:hint="eastAsia" w:ascii="仿宋_GB2312" w:hAnsi="仿宋_GB2312" w:eastAsia="仿宋_GB2312" w:cs="仿宋_GB2312"/>
          <w:sz w:val="32"/>
          <w:szCs w:val="32"/>
        </w:rPr>
        <w:t>机构正常运转及正常履职需要的办公费、水电费、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日常维修、</w:t>
      </w:r>
      <w:r>
        <w:rPr>
          <w:rFonts w:hint="eastAsia" w:ascii="仿宋_GB2312" w:hAnsi="仿宋_GB2312" w:eastAsia="仿宋_GB2312" w:cs="仿宋_GB2312"/>
          <w:sz w:val="32"/>
          <w:szCs w:val="32"/>
        </w:rPr>
        <w:t>物业费、维修费、差旅费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宋体" w:eastAsia="仿宋_GB2312" w:cs="Courier New"/>
          <w:sz w:val="32"/>
          <w:szCs w:val="32"/>
        </w:rPr>
        <w:t>公务用车运行维护费以及其他费用</w:t>
      </w:r>
      <w:r>
        <w:rPr>
          <w:rFonts w:hint="eastAsia" w:ascii="仿宋_GB2312" w:hAnsi="仿宋_GB2312" w:eastAsia="仿宋_GB2312" w:cs="仿宋_GB2312"/>
          <w:sz w:val="32"/>
          <w:szCs w:val="32"/>
        </w:rPr>
        <w:t>等支出。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</w:p>
    <w:p>
      <w:pPr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高新技术产业开发区监察室</w:t>
      </w: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年度部门预算表</w:t>
      </w:r>
    </w:p>
    <w:p>
      <w:pPr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2018年10月9日</w:t>
      </w:r>
    </w:p>
    <w:sectPr>
      <w:pgSz w:w="11906" w:h="16838"/>
      <w:pgMar w:top="2154" w:right="1474" w:bottom="1757" w:left="1587" w:header="851" w:footer="992" w:gutter="0"/>
      <w:cols w:space="720" w:num="1"/>
      <w:rtlGutter w:val="0"/>
      <w:docGrid w:type="linesAndChars" w:linePitch="312" w:charSpace="-183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EEA352F"/>
    <w:multiLevelType w:val="singleLevel"/>
    <w:tmpl w:val="9EEA352F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5A4F2DAA"/>
    <w:multiLevelType w:val="singleLevel"/>
    <w:tmpl w:val="5A4F2DAA"/>
    <w:lvl w:ilvl="0" w:tentative="0">
      <w:start w:val="1"/>
      <w:numFmt w:val="chineseCounting"/>
      <w:suff w:val="nothing"/>
      <w:lvlText w:val="（%1）"/>
      <w:lvlJc w:val="left"/>
    </w:lvl>
  </w:abstractNum>
  <w:abstractNum w:abstractNumId="2">
    <w:nsid w:val="5A796DEC"/>
    <w:multiLevelType w:val="singleLevel"/>
    <w:tmpl w:val="5A796DEC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1D124DC5"/>
    <w:rsid w:val="4E083A1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2018-01-04T09:29:00Z</dcterms:created>
  <dc:creator>Administrator</dc:creator>
  <cp:lastModifiedBy>Lenovo</cp:lastModifiedBy>
  <cp:lastPrinted>2018-08-06T00:36:00Z</cp:lastPrinted>
  <dcterms:modified xsi:type="dcterms:W3CDTF">2019-02-26T09:23:43Z</dcterms:modified>
  <dc:title>河南省焦作市监察局驻市高新技术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2052-11.1.0.8391</vt:lpwstr>
  </property>
</Properties>
</file>