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中共焦作市城乡一体化示范区</w:t>
      </w: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工委宣传教育中心</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工委宣传教育中心2018年部门预算情况说明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工委宣传教育中心2018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工委宣传教育中心</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机构设置情况</w:t>
      </w:r>
    </w:p>
    <w:p>
      <w:pPr>
        <w:spacing w:line="360" w:lineRule="auto"/>
        <w:ind w:firstLine="624" w:firstLineChars="200"/>
        <w:rPr>
          <w:rFonts w:hint="eastAsia" w:ascii="仿宋" w:hAnsi="仿宋" w:eastAsia="仿宋" w:cs="仿宋"/>
          <w:color w:val="FF0000"/>
          <w:sz w:val="32"/>
          <w:szCs w:val="32"/>
        </w:rPr>
      </w:pPr>
      <w:r>
        <w:rPr>
          <w:rFonts w:hint="eastAsia" w:ascii="仿宋_GB2312" w:hAnsi="仿宋_GB2312" w:eastAsia="仿宋_GB2312" w:cs="仿宋_GB2312"/>
          <w:bCs/>
          <w:color w:val="auto"/>
          <w:sz w:val="32"/>
          <w:szCs w:val="32"/>
          <w:lang w:val="en-US" w:eastAsia="zh-CN"/>
        </w:rPr>
        <w:t>示范区工委宣传教育中心隶属于示范区组织人力资源社会保障局的二级机构，主要职责是组织实施新区对内对外宣传、精神文明建设和思想政治工作，负责上示范区党员干部的培训教育工作，负责党员干部电化教育和现代远程教育工作。工委宣传教育中心共有编制人员6名，其中：事业编制6人；在职职工6人；退休2人。经费供给方式为示范区财政全额拨付。</w:t>
      </w:r>
    </w:p>
    <w:p>
      <w:pPr>
        <w:ind w:firstLine="624" w:firstLineChars="200"/>
        <w:rPr>
          <w:rFonts w:hint="eastAsia" w:ascii="仿宋_GB2312" w:hAnsi="仿宋_GB2312" w:eastAsia="仿宋_GB2312" w:cs="仿宋_GB2312"/>
          <w:sz w:val="32"/>
          <w:szCs w:val="32"/>
          <w:lang w:val="en-US" w:eastAsia="zh-CN"/>
        </w:rPr>
      </w:pPr>
    </w:p>
    <w:p>
      <w:pPr>
        <w:numPr>
          <w:ilvl w:val="0"/>
          <w:numId w:val="0"/>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（二）部门职责</w:t>
      </w:r>
    </w:p>
    <w:p>
      <w:pPr>
        <w:numPr>
          <w:ilvl w:val="0"/>
          <w:numId w:val="0"/>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1、做好新区对内对外宣传工作。</w:t>
      </w:r>
    </w:p>
    <w:p>
      <w:pPr>
        <w:ind w:firstLine="624" w:firstLineChars="20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2、确保精神文明建设和四城联创工作的正常运行。</w:t>
      </w:r>
    </w:p>
    <w:p>
      <w:pPr>
        <w:ind w:firstLine="624" w:firstLineChars="20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3、采取丰富多彩的形式，提高党员干部培训质量。</w:t>
      </w:r>
    </w:p>
    <w:p>
      <w:pPr>
        <w:ind w:firstLine="624" w:firstLineChars="200"/>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4、保障远程教育工作有序开展。</w:t>
      </w:r>
    </w:p>
    <w:p>
      <w:pPr>
        <w:numPr>
          <w:ilvl w:val="0"/>
          <w:numId w:val="0"/>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p>
    <w:p>
      <w:pPr>
        <w:numPr>
          <w:ilvl w:val="0"/>
          <w:numId w:val="1"/>
        </w:numPr>
        <w:ind w:left="0" w:leftChars="0" w:firstLine="624" w:firstLineChars="200"/>
        <w:rPr>
          <w:rFonts w:hint="eastAsia" w:ascii="仿宋_GB2312" w:hAnsi="仿宋_GB2312" w:eastAsia="仿宋_GB2312" w:cs="仿宋_GB2312"/>
          <w:b/>
          <w:bCs w:val="0"/>
          <w:color w:val="auto"/>
          <w:sz w:val="32"/>
          <w:szCs w:val="32"/>
          <w:lang w:val="en-US" w:eastAsia="zh-CN"/>
        </w:rPr>
      </w:pPr>
      <w:r>
        <w:rPr>
          <w:rFonts w:hint="eastAsia" w:ascii="仿宋_GB2312" w:hAnsi="仿宋_GB2312" w:eastAsia="仿宋_GB2312" w:cs="仿宋_GB2312"/>
          <w:b/>
          <w:bCs w:val="0"/>
          <w:color w:val="auto"/>
          <w:sz w:val="32"/>
          <w:szCs w:val="32"/>
          <w:lang w:val="en-US" w:eastAsia="zh-CN"/>
        </w:rPr>
        <w:t>工委宣传教育中心预算单位构成。</w:t>
      </w:r>
    </w:p>
    <w:p>
      <w:pPr>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lang w:val="en-US" w:eastAsia="zh-CN"/>
        </w:rPr>
        <w:t>示范区工委宣传教育中心隶属于示范区组织人力资源社会保障局的二级机构。</w:t>
      </w: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工委宣传教育中心2018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年相比，收、支总计各增加</w:t>
      </w:r>
      <w:r>
        <w:rPr>
          <w:rFonts w:hint="eastAsia" w:ascii="仿宋_GB2312" w:hAnsi="仿宋_GB2312" w:eastAsia="仿宋_GB2312" w:cs="仿宋_GB2312"/>
          <w:sz w:val="32"/>
          <w:szCs w:val="32"/>
          <w:lang w:val="en-US" w:eastAsia="zh-CN"/>
        </w:rPr>
        <w:t>53.85</w:t>
      </w:r>
      <w:r>
        <w:rPr>
          <w:rFonts w:hint="eastAsia" w:ascii="仿宋_GB2312" w:hAnsi="仿宋_GB2312" w:eastAsia="仿宋_GB2312" w:cs="仿宋_GB2312"/>
          <w:sz w:val="32"/>
          <w:szCs w:val="32"/>
        </w:rPr>
        <w:t>万元，增长</w:t>
      </w:r>
      <w:r>
        <w:rPr>
          <w:rFonts w:hint="eastAsia" w:ascii="Arial" w:hAnsi="Arial" w:eastAsia="仿宋_GB2312" w:cs="Arial"/>
          <w:sz w:val="32"/>
          <w:szCs w:val="32"/>
          <w:lang w:val="en-US" w:eastAsia="zh-CN"/>
        </w:rPr>
        <w:t>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创建全国文明城市工作需要</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国有资本经营预算收入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万元；其他收入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lang w:val="en-US" w:eastAsia="zh-CN"/>
        </w:rPr>
        <w:t>73.85</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69%</w:t>
      </w:r>
      <w:r>
        <w:rPr>
          <w:rFonts w:hint="eastAsia" w:ascii="仿宋_GB2312" w:hAnsi="仿宋_GB2312" w:eastAsia="仿宋_GB2312" w:cs="仿宋_GB2312"/>
          <w:sz w:val="32"/>
          <w:szCs w:val="32"/>
        </w:rPr>
        <w:t>；项目支出</w:t>
      </w:r>
      <w:r>
        <w:rPr>
          <w:rFonts w:hint="eastAsia" w:ascii="Arial" w:hAnsi="Arial" w:eastAsia="仿宋_GB2312" w:cs="Arial"/>
          <w:sz w:val="32"/>
          <w:szCs w:val="32"/>
          <w:lang w:val="en-US" w:eastAsia="zh-CN"/>
        </w:rPr>
        <w:t>33</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31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年一般公共预算收支预算</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政府性基金收支预算</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Arial" w:hAnsi="Arial" w:eastAsia="仿宋_GB2312" w:cs="Arial"/>
          <w:sz w:val="32"/>
          <w:szCs w:val="32"/>
          <w:lang w:val="en-US" w:eastAsia="zh-CN"/>
        </w:rPr>
        <w:t>53.85</w:t>
      </w:r>
      <w:r>
        <w:rPr>
          <w:rFonts w:hint="eastAsia" w:ascii="仿宋_GB2312" w:hAnsi="仿宋_GB2312" w:eastAsia="仿宋_GB2312" w:cs="仿宋_GB2312"/>
          <w:sz w:val="32"/>
          <w:szCs w:val="32"/>
        </w:rPr>
        <w:t>万元，增长</w:t>
      </w:r>
      <w:r>
        <w:rPr>
          <w:rFonts w:hint="eastAsia" w:ascii="Arial" w:hAnsi="Arial" w:eastAsia="仿宋_GB2312" w:cs="Arial"/>
          <w:sz w:val="32"/>
          <w:szCs w:val="32"/>
          <w:lang w:val="en-US" w:eastAsia="zh-CN"/>
        </w:rPr>
        <w:t>50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w:t>
      </w:r>
      <w:r>
        <w:rPr>
          <w:rFonts w:hint="eastAsia" w:ascii="Arial" w:hAnsi="Arial" w:eastAsia="仿宋_GB2312" w:cs="Arial"/>
          <w:sz w:val="32"/>
          <w:szCs w:val="32"/>
          <w:lang w:eastAsia="zh-CN"/>
        </w:rPr>
        <w:t>创建全国文明城市工作需要；</w:t>
      </w:r>
      <w:r>
        <w:rPr>
          <w:rFonts w:hint="eastAsia" w:ascii="仿宋_GB2312" w:hAnsi="仿宋_GB2312" w:eastAsia="仿宋_GB2312" w:cs="仿宋_GB2312"/>
          <w:sz w:val="32"/>
          <w:szCs w:val="32"/>
          <w:lang w:eastAsia="zh-CN"/>
        </w:rPr>
        <w:t>政府性基金收支增加</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万元，增长</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lang w:val="en-US" w:eastAsia="zh-CN"/>
        </w:rPr>
        <w:t>%</w:t>
      </w:r>
      <w:r>
        <w:rPr>
          <w:rFonts w:hint="eastAsia" w:ascii="Arial" w:hAnsi="Arial" w:eastAsia="仿宋_GB2312" w:cs="Arial"/>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Arial" w:hAnsi="Arial" w:eastAsia="仿宋_GB2312" w:cs="Arial"/>
          <w:sz w:val="32"/>
          <w:szCs w:val="32"/>
          <w:lang w:val="en-US" w:eastAsia="zh-CN"/>
        </w:rPr>
        <w:t>106.85</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一般公共服务支出</w:t>
      </w:r>
      <w:r>
        <w:rPr>
          <w:rFonts w:hint="eastAsia" w:ascii="Arial" w:hAnsi="Arial" w:eastAsia="仿宋_GB2312" w:cs="Arial"/>
          <w:sz w:val="32"/>
          <w:szCs w:val="32"/>
          <w:lang w:val="en-US" w:eastAsia="zh-CN"/>
        </w:rPr>
        <w:t>96.09</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90</w:t>
      </w:r>
      <w:r>
        <w:rPr>
          <w:rFonts w:hint="eastAsia" w:ascii="仿宋_GB2312" w:hAnsi="仿宋_GB2312" w:eastAsia="仿宋_GB2312" w:cs="仿宋_GB2312"/>
          <w:kern w:val="0"/>
          <w:sz w:val="32"/>
          <w:szCs w:val="32"/>
        </w:rPr>
        <w:t>%；社会保障和就业支出</w:t>
      </w:r>
      <w:r>
        <w:rPr>
          <w:rFonts w:hint="eastAsia" w:ascii="仿宋_GB2312" w:hAnsi="仿宋_GB2312" w:eastAsia="仿宋_GB2312" w:cs="仿宋_GB2312"/>
          <w:kern w:val="0"/>
          <w:sz w:val="32"/>
          <w:szCs w:val="32"/>
          <w:lang w:val="en-US" w:eastAsia="zh-CN"/>
        </w:rPr>
        <w:t>10.76</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spacing w:line="360" w:lineRule="auto"/>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lang w:val="en-US" w:eastAsia="zh-CN"/>
        </w:rPr>
        <w:t>73.85</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spacing w:val="-1"/>
          <w:kern w:val="0"/>
          <w:sz w:val="32"/>
          <w:szCs w:val="32"/>
          <w:lang w:val="en-US" w:eastAsia="zh-CN"/>
        </w:rPr>
        <w:t>70.57</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 w:hAnsi="仿宋" w:eastAsia="仿宋" w:cs="仿宋"/>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3.28</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w:t>
      </w:r>
      <w:r>
        <w:rPr>
          <w:rFonts w:hint="eastAsia" w:ascii="仿宋" w:hAnsi="仿宋" w:eastAsia="仿宋" w:cs="仿宋"/>
          <w:kern w:val="0"/>
          <w:sz w:val="32"/>
          <w:szCs w:val="32"/>
        </w:rPr>
        <w:t>办公费、印刷费、水费、电费、邮电费、</w:t>
      </w:r>
      <w:bookmarkStart w:id="0" w:name="_GoBack"/>
      <w:bookmarkEnd w:id="0"/>
      <w:r>
        <w:rPr>
          <w:rFonts w:hint="eastAsia" w:ascii="仿宋" w:hAnsi="仿宋" w:eastAsia="仿宋" w:cs="仿宋"/>
          <w:kern w:val="0"/>
          <w:sz w:val="32"/>
          <w:szCs w:val="32"/>
        </w:rPr>
        <w:t>差旅费、维修（护）费、租赁费、会议费、培训费、公务接待费、专用材料费、劳务费、委托业务费、福利费、其他商品和服务支出、办公设备购置、信息网络及软件购置更新。</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年没有使用政府性基金预算</w:t>
      </w:r>
      <w:r>
        <w:rPr>
          <w:rFonts w:hint="eastAsia" w:ascii="仿宋_GB2312" w:hAnsi="仿宋_GB2312" w:eastAsia="仿宋_GB2312" w:cs="仿宋_GB2312"/>
          <w:color w:val="auto"/>
          <w:sz w:val="32"/>
          <w:szCs w:val="32"/>
          <w:lang w:eastAsia="zh-CN"/>
        </w:rPr>
        <w:t>拨款</w:t>
      </w:r>
      <w:r>
        <w:rPr>
          <w:rFonts w:hint="eastAsia" w:ascii="仿宋_GB2312" w:hAnsi="仿宋_GB2312" w:eastAsia="仿宋_GB2312" w:cs="仿宋_GB2312"/>
          <w:color w:val="auto"/>
          <w:sz w:val="32"/>
          <w:szCs w:val="32"/>
        </w:rPr>
        <w:t>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w:t>
      </w:r>
      <w:r>
        <w:rPr>
          <w:rFonts w:hint="eastAsia" w:ascii="仿宋_GB2312" w:hAnsi="仿宋_GB2312" w:eastAsia="仿宋_GB2312" w:cs="仿宋_GB2312"/>
          <w:color w:val="auto"/>
          <w:sz w:val="32"/>
          <w:szCs w:val="32"/>
          <w:lang w:eastAsia="zh-CN"/>
        </w:rPr>
        <w:t>国有资本经营</w:t>
      </w:r>
      <w:r>
        <w:rPr>
          <w:rFonts w:hint="eastAsia" w:ascii="仿宋_GB2312" w:hAnsi="仿宋_GB2312" w:eastAsia="仿宋_GB2312" w:cs="仿宋_GB2312"/>
          <w:color w:val="auto"/>
          <w:sz w:val="32"/>
          <w:szCs w:val="32"/>
        </w:rPr>
        <w:t>预算拨款安排的</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rPr>
        <w:t>。</w:t>
      </w:r>
    </w:p>
    <w:p>
      <w:pPr>
        <w:numPr>
          <w:ilvl w:val="0"/>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rPr>
        <w:t>。</w:t>
      </w:r>
    </w:p>
    <w:p>
      <w:pPr>
        <w:numPr>
          <w:ilvl w:val="0"/>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firstLine="620" w:firstLineChars="200"/>
        <w:rPr>
          <w:rFonts w:hint="eastAsia" w:ascii="仿宋" w:hAnsi="仿宋" w:eastAsia="仿宋" w:cs="仿宋"/>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 w:hAnsi="仿宋" w:eastAsia="仿宋" w:cs="仿宋"/>
          <w:sz w:val="32"/>
          <w:szCs w:val="32"/>
          <w:lang w:val="en-US" w:eastAsia="zh-CN"/>
        </w:rPr>
        <w:t>与2017年持平。</w:t>
      </w:r>
    </w:p>
    <w:p>
      <w:pPr>
        <w:numPr>
          <w:ilvl w:val="0"/>
          <w:numId w:val="3"/>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w:t>
      </w:r>
      <w:r>
        <w:rPr>
          <w:rFonts w:hint="eastAsia" w:ascii="仿宋_GB2312" w:hAnsi="仿宋_GB2312" w:eastAsia="仿宋_GB2312" w:cs="仿宋_GB2312"/>
          <w:kern w:val="0"/>
          <w:sz w:val="32"/>
          <w:szCs w:val="32"/>
          <w:lang w:eastAsia="zh-CN"/>
        </w:rPr>
        <w:t>车辆运行及维护</w:t>
      </w:r>
      <w:r>
        <w:rPr>
          <w:rFonts w:hint="eastAsia" w:ascii="仿宋_GB2312" w:hAnsi="仿宋_GB2312" w:eastAsia="仿宋_GB2312" w:cs="仿宋_GB2312"/>
          <w:sz w:val="32"/>
          <w:szCs w:val="32"/>
          <w:lang w:val="en-US" w:eastAsia="zh-CN"/>
        </w:rPr>
        <w:t>,比2017年减少0.4</w:t>
      </w:r>
      <w:r>
        <w:rPr>
          <w:rFonts w:hint="eastAsia" w:ascii="仿宋_GB2312" w:hAnsi="仿宋_GB2312" w:eastAsia="仿宋_GB2312" w:cs="仿宋_GB2312"/>
          <w:kern w:val="0"/>
          <w:sz w:val="32"/>
          <w:szCs w:val="32"/>
          <w:lang w:eastAsia="zh-CN"/>
        </w:rPr>
        <w:t>万元，较上年下降</w:t>
      </w:r>
      <w:r>
        <w:rPr>
          <w:rFonts w:hint="eastAsia" w:ascii="仿宋_GB2312" w:hAnsi="仿宋_GB2312" w:eastAsia="仿宋_GB2312" w:cs="仿宋_GB2312"/>
          <w:kern w:val="0"/>
          <w:sz w:val="32"/>
          <w:szCs w:val="32"/>
          <w:lang w:val="en-US" w:eastAsia="zh-CN"/>
        </w:rPr>
        <w:t>24%，主要原因：公车改革</w:t>
      </w:r>
      <w:r>
        <w:rPr>
          <w:rFonts w:hint="eastAsia" w:ascii="仿宋_GB2312" w:hAnsi="仿宋_GB2312" w:eastAsia="仿宋_GB2312" w:cs="仿宋_GB2312"/>
          <w:kern w:val="0"/>
          <w:sz w:val="32"/>
          <w:szCs w:val="32"/>
          <w:lang w:eastAsia="zh-CN"/>
        </w:rPr>
        <w:t>。</w:t>
      </w:r>
    </w:p>
    <w:p>
      <w:pPr>
        <w:spacing w:line="360" w:lineRule="auto"/>
        <w:ind w:firstLine="620" w:firstLineChars="200"/>
        <w:outlineLvl w:val="0"/>
        <w:rPr>
          <w:rFonts w:hint="eastAsia" w:ascii="仿宋_GB2312" w:hAnsi="仿宋_GB2312" w:eastAsia="仿宋" w:cs="仿宋_GB2312"/>
          <w:kern w:val="0"/>
          <w:sz w:val="32"/>
          <w:szCs w:val="32"/>
          <w:lang w:eastAsia="zh-CN"/>
        </w:rPr>
      </w:pPr>
      <w:r>
        <w:rPr>
          <w:rFonts w:hint="eastAsia" w:ascii="仿宋_GB2312" w:hAnsi="仿宋_GB2312" w:eastAsia="仿宋_GB2312" w:cs="仿宋_GB2312"/>
          <w:b w:val="0"/>
          <w:bCs/>
          <w:spacing w:val="-1"/>
          <w:kern w:val="0"/>
          <w:sz w:val="32"/>
          <w:szCs w:val="32"/>
          <w:lang w:eastAsia="zh-CN"/>
        </w:rPr>
        <w:t>（三）</w:t>
      </w:r>
      <w:r>
        <w:rPr>
          <w:rFonts w:hint="eastAsia" w:ascii="仿宋_GB2312" w:hAnsi="仿宋_GB2312" w:eastAsia="仿宋_GB2312" w:cs="仿宋_GB2312"/>
          <w:b/>
          <w:spacing w:val="-1"/>
          <w:kern w:val="0"/>
          <w:sz w:val="32"/>
          <w:szCs w:val="32"/>
        </w:rPr>
        <w:t>公务接待费</w:t>
      </w:r>
      <w:r>
        <w:rPr>
          <w:rFonts w:hint="eastAsia" w:ascii="仿宋_GB2312" w:hAnsi="仿宋_GB2312" w:eastAsia="仿宋_GB2312" w:cs="仿宋_GB2312"/>
          <w:kern w:val="0"/>
          <w:sz w:val="32"/>
          <w:szCs w:val="32"/>
          <w:lang w:val="en-US" w:eastAsia="zh-CN"/>
        </w:rPr>
        <w:t>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主要用于日常办公</w:t>
      </w:r>
      <w:r>
        <w:rPr>
          <w:rFonts w:hint="eastAsia" w:ascii="仿宋_GB2312" w:hAnsi="仿宋_GB2312" w:eastAsia="仿宋_GB2312" w:cs="仿宋_GB2312"/>
          <w:kern w:val="0"/>
          <w:sz w:val="32"/>
          <w:szCs w:val="32"/>
          <w:lang w:eastAsia="zh-CN"/>
        </w:rPr>
        <w:t>加班，比</w:t>
      </w:r>
      <w:r>
        <w:rPr>
          <w:rFonts w:hint="eastAsia" w:ascii="仿宋_GB2312" w:hAnsi="仿宋_GB2312" w:eastAsia="仿宋_GB2312" w:cs="仿宋_GB2312"/>
          <w:kern w:val="0"/>
          <w:sz w:val="32"/>
          <w:szCs w:val="32"/>
          <w:lang w:val="en-US" w:eastAsia="zh-CN"/>
        </w:rPr>
        <w:t>2017年预算数减少0.7</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58%，</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auto"/>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auto"/>
          <w:spacing w:val="0"/>
          <w:sz w:val="32"/>
          <w:szCs w:val="32"/>
          <w:shd w:val="clear" w:color="080000" w:fill="FFFFFF"/>
          <w:lang w:val="en-US" w:eastAsia="zh-CN"/>
        </w:rPr>
        <w:t>大力压缩</w:t>
      </w:r>
      <w:r>
        <w:rPr>
          <w:rFonts w:hint="eastAsia" w:ascii="仿宋" w:hAnsi="仿宋" w:eastAsia="仿宋" w:cs="仿宋"/>
          <w:color w:val="auto"/>
          <w:sz w:val="32"/>
          <w:szCs w:val="32"/>
        </w:rPr>
        <w:t>“三公”经费</w:t>
      </w:r>
      <w:r>
        <w:rPr>
          <w:rFonts w:hint="eastAsia" w:ascii="仿宋" w:hAnsi="仿宋" w:eastAsia="仿宋" w:cs="仿宋"/>
          <w:color w:val="auto"/>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pacing w:val="-1"/>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0" w:firstLineChars="200"/>
        <w:outlineLvl w:val="0"/>
        <w:rPr>
          <w:rFonts w:hint="eastAsia" w:ascii="仿宋_GB2312" w:hAnsi="仿宋_GB2312" w:eastAsia="仿宋_GB2312" w:cs="仿宋_GB2312"/>
          <w:spacing w:val="-1"/>
          <w:kern w:val="0"/>
          <w:sz w:val="32"/>
          <w:szCs w:val="32"/>
          <w:lang w:eastAsia="zh-CN"/>
        </w:rPr>
      </w:pPr>
      <w:r>
        <w:rPr>
          <w:rFonts w:hint="eastAsia" w:ascii="仿宋_GB2312" w:hAnsi="仿宋_GB2312" w:eastAsia="仿宋_GB2312" w:cs="仿宋_GB2312"/>
          <w:spacing w:val="-1"/>
          <w:kern w:val="0"/>
          <w:sz w:val="32"/>
          <w:szCs w:val="32"/>
          <w:lang w:eastAsia="zh-CN"/>
        </w:rPr>
        <w:t>无</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3.28</w:t>
      </w:r>
      <w:r>
        <w:rPr>
          <w:rFonts w:hint="eastAsia" w:ascii="仿宋_GB2312" w:hAnsi="仿宋_GB2312" w:eastAsia="仿宋_GB2312" w:cs="仿宋_GB2312"/>
          <w:sz w:val="32"/>
          <w:szCs w:val="32"/>
        </w:rPr>
        <w:t>万元，主要保障机关机构正常运转及正常履职需要的办公费、水电费、物业费、维修费、差旅费等支出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2017年增加0.2</w:t>
      </w:r>
      <w:r>
        <w:rPr>
          <w:rFonts w:hint="eastAsia" w:ascii="仿宋_GB2312" w:hAnsi="仿宋_GB2312" w:eastAsia="仿宋_GB2312" w:cs="仿宋_GB2312"/>
          <w:kern w:val="0"/>
          <w:sz w:val="32"/>
          <w:szCs w:val="32"/>
          <w:lang w:eastAsia="zh-CN"/>
        </w:rPr>
        <w:t>万元，主要原因：工资基数调整</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,我部门对1</w:t>
      </w:r>
      <w:r>
        <w:rPr>
          <w:rFonts w:hint="eastAsia" w:ascii="仿宋_GB2312" w:hAnsi="仿宋_GB2312" w:eastAsia="仿宋_GB2312" w:cs="仿宋_GB2312"/>
          <w:sz w:val="32"/>
          <w:szCs w:val="32"/>
        </w:rPr>
        <w:t>个项目进行了预算绩效评价，</w:t>
      </w:r>
      <w:r>
        <w:rPr>
          <w:rFonts w:hint="eastAsia" w:ascii="仿宋_GB2312" w:hAnsi="仿宋_GB2312" w:eastAsia="仿宋_GB2312" w:cs="仿宋_GB2312"/>
          <w:sz w:val="32"/>
          <w:szCs w:val="32"/>
          <w:lang w:val="en-US" w:eastAsia="zh-CN"/>
        </w:rPr>
        <w:t xml:space="preserve">涉及资金100万元。2018年，我部门纳入预算绩效管理的支出总额为106.85万元，其中人员经费支出70.57万元，公用经费支出3.28万元，项目支出4个，支出总额33万元，其中预算支出100万元及100万元以上项目0个，支出总额0万元。 </w:t>
      </w:r>
    </w:p>
    <w:p>
      <w:pPr>
        <w:numPr>
          <w:ilvl w:val="0"/>
          <w:numId w:val="0"/>
        </w:numPr>
        <w:ind w:firstLine="624" w:firstLineChars="200"/>
        <w:rPr>
          <w:rFonts w:hint="eastAsia" w:ascii="仿宋_GB2312" w:hAnsi="仿宋_GB2312" w:eastAsia="仿宋_GB2312" w:cs="仿宋_GB2312"/>
          <w:sz w:val="32"/>
          <w:szCs w:val="32"/>
          <w:lang w:val="en-US" w:eastAsia="zh-CN"/>
        </w:rPr>
      </w:pPr>
    </w:p>
    <w:p>
      <w:pPr>
        <w:numPr>
          <w:ilvl w:val="0"/>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017年期末，</w:t>
      </w:r>
      <w:r>
        <w:rPr>
          <w:rFonts w:hint="eastAsia" w:ascii="仿宋_GB2312" w:hAnsi="仿宋_GB2312" w:eastAsia="仿宋_GB2312" w:cs="仿宋_GB2312"/>
          <w:sz w:val="32"/>
          <w:szCs w:val="32"/>
          <w:lang w:val="en-US" w:eastAsia="zh-CN"/>
        </w:rPr>
        <w:t>工委宣传教育中心</w:t>
      </w:r>
      <w:r>
        <w:rPr>
          <w:rFonts w:hint="eastAsia" w:ascii="仿宋_GB2312" w:hAnsi="仿宋_GB2312" w:eastAsia="仿宋_GB2312" w:cs="仿宋_GB2312"/>
          <w:kern w:val="0"/>
          <w:sz w:val="32"/>
          <w:szCs w:val="32"/>
          <w:lang w:eastAsia="zh-CN"/>
        </w:rPr>
        <w:t>固定资产总额</w:t>
      </w:r>
      <w:r>
        <w:rPr>
          <w:rFonts w:hint="eastAsia" w:ascii="仿宋_GB2312" w:hAnsi="仿宋_GB2312" w:eastAsia="仿宋_GB2312" w:cs="仿宋_GB2312"/>
          <w:kern w:val="0"/>
          <w:sz w:val="32"/>
          <w:szCs w:val="32"/>
          <w:lang w:val="en-US" w:eastAsia="zh-CN"/>
        </w:rPr>
        <w:t>21.76</w:t>
      </w:r>
      <w:r>
        <w:rPr>
          <w:rFonts w:hint="eastAsia" w:ascii="仿宋_GB2312" w:hAnsi="仿宋_GB2312" w:eastAsia="仿宋_GB2312" w:cs="仿宋_GB2312"/>
          <w:kern w:val="0"/>
          <w:sz w:val="32"/>
          <w:szCs w:val="32"/>
          <w:lang w:eastAsia="zh-CN"/>
        </w:rPr>
        <w:t>万元，其中，房屋建筑物</w:t>
      </w:r>
      <w:r>
        <w:rPr>
          <w:rFonts w:hint="eastAsia" w:ascii="仿宋_GB2312" w:hAnsi="仿宋_GB2312" w:eastAsia="仿宋_GB2312" w:cs="仿宋_GB2312"/>
          <w:kern w:val="0"/>
          <w:sz w:val="32"/>
          <w:szCs w:val="32"/>
          <w:lang w:val="en-US" w:eastAsia="zh-CN"/>
        </w:rPr>
        <w:t>0万元，车辆19.11</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kern w:val="0"/>
          <w:sz w:val="32"/>
          <w:szCs w:val="32"/>
        </w:rPr>
        <w:t>共有车辆</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辆，其中：一般公务用车</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工委宣传教育中心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abstractNum w:abstractNumId="2">
    <w:nsid w:val="7381CE06"/>
    <w:multiLevelType w:val="singleLevel"/>
    <w:tmpl w:val="7381CE06"/>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0325271"/>
    <w:rsid w:val="6BF31E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2019-02-26T09:24:52Z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2052-11.1.0.8391</vt:lpwstr>
  </property>
</Properties>
</file>