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/>
          <w:sz w:val="52"/>
          <w:szCs w:val="52"/>
        </w:rPr>
        <w:t>焦作市城乡一体化示范区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民政服务中心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民政服务中心 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民政服务中心2018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4368" w:firstLineChars="1400"/>
        <w:jc w:val="both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民政服务中心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楷体_GB2312" w:eastAsia="仿宋_GB2312" w:cs="楷体_GB2312"/>
          <w:sz w:val="32"/>
          <w:szCs w:val="32"/>
        </w:rPr>
        <w:t>示范区民政服务中心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是隶属示范区社会事业局的二级机构</w:t>
      </w:r>
      <w:r>
        <w:rPr>
          <w:rFonts w:hint="eastAsia" w:ascii="仿宋_GB2312" w:hAnsi="楷体_GB2312" w:eastAsia="仿宋_GB2312" w:cs="楷体_GB2312"/>
          <w:sz w:val="32"/>
          <w:szCs w:val="32"/>
        </w:rPr>
        <w:t>,经费财政全供。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中心下设李万街道民政所、文苑街道民政所、文昌街道民政所、宁郭镇民政所、苏家作乡民政所、阳庙镇民政所六个事业单位。</w:t>
      </w:r>
    </w:p>
    <w:p>
      <w:pPr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（一）贯彻执行国家关于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"http://www.baidu.com/s?wd=%E6%B0%91%E6%94%BF%E5%B7%A5%E4%BD%9C&amp;hl_tag=textlink&amp;tn=SE_hldp01350_v6v6zkg6"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民政工作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的方针、政策和法律、法规，研究制定全区民政事业中、长期规划和年度计划并组织实施和监督检查。 　</w:t>
      </w:r>
      <w:bookmarkStart w:id="0" w:name="_GoBack"/>
      <w:bookmarkEnd w:id="0"/>
    </w:p>
    <w:p>
      <w:pPr>
        <w:widowControl/>
        <w:spacing w:line="360" w:lineRule="auto"/>
        <w:ind w:firstLine="624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eastAsia="仿宋_GB2312"/>
          <w:kern w:val="0"/>
          <w:sz w:val="32"/>
          <w:szCs w:val="32"/>
        </w:rPr>
        <w:t>负责拥军优属、优待抚恤和烈士褒扬工作，</w:t>
      </w:r>
      <w:r>
        <w:rPr>
          <w:rFonts w:hint="eastAsia" w:ascii="仿宋_GB2312" w:eastAsia="仿宋_GB2312"/>
          <w:sz w:val="32"/>
          <w:szCs w:val="32"/>
        </w:rPr>
        <w:t>负责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"http://www.baidu.com/s?wd=%E9%9D%A9%E5%91%BD%E7%83%88%E5%A3%AB&amp;hl_tag=textlink&amp;tn=SE_hldp01350_v6v6zkg6"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革命烈士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审核、报批、褒扬和革命伤残人员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"http://www.baidu.com/s?wd=%E6%AE%8B%E5%BA%9F%E7%AD%89%E7%BA%A7&amp;hl_tag=textlink&amp;tn=SE_hldp01350_v6v6zkg6"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残废等级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评定的审核报批工作。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（三）组织救灾工作，掌握和发布灾情，拨放救灾款物；组织接收、分配救灾捐赠；检查、监督救灾款物使用情况，指导灾区开展生产自救活动。 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负责城乡社会救济，组织实施城乡居民最低生活保障和城乡医疗救助工作，指导敬老院建设和五保供养工作。组织开展经常性社会捐助活动。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（五）制定并组织实施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"http://www.baidu.com/s?wd=%E7%A4%BE%E4%BC%9A%E7%A6%8F%E5%88%A9&amp;hl_tag=textlink&amp;tn=SE_hldp01350_v6v6zkg6"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社会福利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事业发展规划，指导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"http://www.baidu.com/s?wd=%E7%A4%BE%E4%BC%9A%E7%A6%8F%E5%88%A9%E4%BA%8B%E4%B8%9A%E5%8D%95%E4%BD%8D&amp;hl_tag=textlink&amp;tn=SE_hldp01350_v6v6zkg6"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社会福利事业单位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管理和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"http://www.baidu.com/s?wd=%E7%A4%BE%E5%8C%BA%E6%9C%8D%E5%8A%A1&amp;hl_tag=textlink&amp;tn=SE_hldp01350_v6v6zkg6"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社区服务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工作，建立和完善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"http://www.baidu.com/s?wd=%E7%A4%BE%E4%BC%9A%E7%A6%8F%E5%88%A9&amp;hl_tag=textlink&amp;tn=SE_hldp01350_v6v6zkg6"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社会福利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服务体系。 　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（六）指导老年人和残疾人的权益保护工作，会同有关部门制定并监督实施残疾人就业和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"http://www.baidu.com/s?wd=%E7%A4%BE%E4%BC%9A%E7%A6%8F%E5%88%A9&amp;hl_tag=textlink&amp;tn=SE_hldp01350_v6v6zkg6"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社会福利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生产的扶持保护政策，指导社会福利生产，审批和管理辖区内社会福利企业。 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（七）负责城乡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"http://www.baidu.com/s?wd=%E5%9F%BA%E5%B1%82%E6%94%BF%E6%9D%83&amp;hl_tag=textlink&amp;tn=SE_hldp01350_v6v6zkg6"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基层政权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建设和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"http://www.baidu.com/s?wd=%E5%9F%BA%E5%B1%82%E7%BE%A4%E4%BC%97%E8%87%AA%E6%B2%BB%E7%BB%84%E7%BB%87&amp;hl_tag=textlink&amp;tn=SE_hldp01350_v6v6zkg6"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基层群众自治组织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建设，开展村民、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"http://www.baidu.com/s?wd=%E5%B1%85%E6%B0%91%E8%87%AA%E6%B2%BB&amp;hl_tag=textlink&amp;tn=SE_hldp01350_v6v6zkg6"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居民自治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活动。 　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（八）负责行政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"http://www.baidu.com/s?wd=%E5%8C%BA%E5%9F%9F%E8%A7%84%E5%88%92&amp;hl_tag=textlink&amp;tn=SE_hldp01350_v6v6zkg6"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区域规划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，负责区、乡镇、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"http://www.baidu.com/s?wd=%E8%A1%97%E9%81%93%E5%8A%9E%E4%BA%8B%E5%A4%84&amp;hl_tag=textlink&amp;tn=SE_hldp01350_v6v6zkg6"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街道办事处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"http://www.baidu.com/s?wd=%E8%A1%8C%E6%94%BF%E5%8C%BA%E5%9F%9F&amp;hl_tag=textlink&amp;tn=SE_hldp01350_v6v6zkg6"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行政区域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的设立、撤销、更名和界线变更的审核报批工作。 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（九）负责全区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"http://www.baidu.com/s?wd=%E8%A1%8C%E6%94%BF%E5%8C%BA%E5%88%92&amp;hl_tag=textlink&amp;tn=SE_hldp01350_v6v6zkg6"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行政区划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名称和重要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"http://www.baidu.com/s?wd=%E8%87%AA%E7%84%B6%E5%9C%B0%E7%90%86&amp;hl_tag=textlink&amp;tn=SE_hldp01350_v6v6zkg6"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自然地理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实体的命名、更名和地名标志的规划、设立管理等工作。 　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（十）拟订社团管理法规并组织实施；负责全区性社团组织审批登记和管理工作；指导乡镇、街道办事处、区社团管理工作。 　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（十一）主管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"http://www.baidu.com/s?wd=%E5%A9%9A%E5%A7%BB%E7%99%BB%E8%AE%B0&amp;hl_tag=textlink&amp;tn=SE_hldp01350_v6v6zkg6"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婚姻登记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和儿童收养工作；负责殡葬和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"http://www.baidu.com/s?wd=%E5%85%AC%E5%A2%93&amp;hl_tag=textlink&amp;tn=SE_hldp01350_v6v6zkg6"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公墓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事业管理工作。 　</w:t>
      </w:r>
    </w:p>
    <w:p>
      <w:pPr>
        <w:pStyle w:val="3"/>
        <w:spacing w:line="360" w:lineRule="atLeast"/>
        <w:ind w:firstLine="624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（十二）负责辖区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"http://www.baidu.com/s?wd=%E6%B5%81%E6%B5%AA%E4%B9%9E%E8%AE%A8%E4%BA%BA%E5%91%98&amp;hl_tag=textlink&amp;tn=SE_hldp01350_v6v6zkg6"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流浪乞讨人员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的收容、管理、教育 、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"http://www.baidu.com/s?wd=%E9%81%A3%E9%80%81&amp;hl_tag=textlink&amp;tn=SE_hldp01350_v6v6zkg6"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遣送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工作；指导</w:t>
      </w:r>
      <w:r>
        <w:rPr>
          <w:rFonts w:hint="eastAsia" w:ascii="仿宋_GB2312" w:eastAsia="仿宋_GB2312"/>
          <w:sz w:val="32"/>
          <w:szCs w:val="32"/>
        </w:rPr>
        <w:fldChar w:fldCharType="begin"/>
      </w:r>
      <w:r>
        <w:rPr>
          <w:rFonts w:hint="eastAsia" w:ascii="仿宋_GB2312" w:eastAsia="仿宋_GB2312"/>
          <w:sz w:val="32"/>
          <w:szCs w:val="32"/>
        </w:rPr>
        <w:instrText xml:space="preserve"> HYPERLINK "http://www.baidu.com/s?wd=%E6%94%B6%E5%AE%B9%E9%81%A3%E9%80%81&amp;hl_tag=textlink&amp;tn=SE_hldp01350_v6v6zkg6" \t "_blank" </w:instrText>
      </w:r>
      <w:r>
        <w:rPr>
          <w:rFonts w:hint="eastAsia" w:ascii="仿宋_GB2312" w:eastAsia="仿宋_GB2312"/>
          <w:sz w:val="32"/>
          <w:szCs w:val="32"/>
        </w:rPr>
        <w:fldChar w:fldCharType="separate"/>
      </w:r>
      <w:r>
        <w:rPr>
          <w:rStyle w:val="6"/>
          <w:rFonts w:hint="eastAsia" w:ascii="仿宋_GB2312" w:eastAsia="仿宋_GB2312"/>
          <w:color w:val="auto"/>
          <w:sz w:val="32"/>
          <w:szCs w:val="32"/>
        </w:rPr>
        <w:t>收容遣送</w:t>
      </w:r>
      <w:r>
        <w:rPr>
          <w:rFonts w:hint="eastAsia"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站的建设和管理工作。</w:t>
      </w:r>
    </w:p>
    <w:p>
      <w:pPr>
        <w:widowControl/>
        <w:spacing w:line="360" w:lineRule="auto"/>
        <w:ind w:firstLine="624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（十三）指导乡镇街道办事处社区建设工作，开展社区服务，推进社区居民自治。</w:t>
      </w:r>
    </w:p>
    <w:p>
      <w:pPr>
        <w:widowControl/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（十四）承办区党工委管委会交办的其他事项。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部门预算单位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构</w:t>
      </w:r>
      <w:r>
        <w:rPr>
          <w:rFonts w:hint="eastAsia" w:ascii="仿宋_GB2312" w:hAnsi="仿宋_GB2312" w:eastAsia="仿宋_GB2312" w:cs="仿宋_GB2312"/>
          <w:sz w:val="32"/>
          <w:szCs w:val="32"/>
        </w:rPr>
        <w:t>成</w:t>
      </w:r>
    </w:p>
    <w:p>
      <w:pPr>
        <w:widowControl/>
        <w:shd w:val="clear" w:color="auto" w:fill="FFFFFF"/>
        <w:spacing w:line="450" w:lineRule="atLeast"/>
        <w:ind w:firstLine="624" w:firstLineChars="200"/>
        <w:jc w:val="left"/>
        <w:rPr>
          <w:rFonts w:hint="eastAsia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示范区民政服务中心</w:t>
      </w:r>
      <w:r>
        <w:rPr>
          <w:rFonts w:hint="eastAsia" w:ascii="仿宋_GB2312" w:hAnsi="楷体_GB2312" w:eastAsia="仿宋_GB2312" w:cs="楷体_GB2312"/>
          <w:sz w:val="32"/>
          <w:szCs w:val="32"/>
          <w:lang w:eastAsia="zh-CN"/>
        </w:rPr>
        <w:t>是隶属示范区社会事业局的二级机构</w:t>
      </w:r>
      <w:r>
        <w:rPr>
          <w:rFonts w:hint="eastAsia" w:ascii="仿宋_GB2312" w:hAnsi="楷体_GB2312" w:eastAsia="仿宋_GB2312" w:cs="楷体_GB2312"/>
          <w:sz w:val="32"/>
          <w:szCs w:val="32"/>
        </w:rPr>
        <w:t>,经费财政全供。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中心下设李万街道民政所、文苑街道民政所、文昌街道民政所、宁郭镇民政所、苏家作乡民政所、阳庙镇民政所六个事业单位。本预算为中心预算，不包括下设民政所。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adjustRightInd w:val="0"/>
        <w:snapToGrid w:val="0"/>
        <w:spacing w:line="360" w:lineRule="auto"/>
        <w:ind w:firstLine="624" w:firstLineChars="200"/>
        <w:jc w:val="center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民政服务中2018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一、收入支出预算总体情况说明</w:t>
      </w:r>
    </w:p>
    <w:p>
      <w:pPr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default" w:ascii="Arial" w:hAnsi="Arial" w:eastAsia="仿宋_GB2312" w:cs="Arial"/>
          <w:sz w:val="32"/>
          <w:szCs w:val="32"/>
        </w:rPr>
        <w:t>2136.67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default" w:ascii="Arial" w:hAnsi="Arial" w:eastAsia="仿宋_GB2312" w:cs="Arial"/>
          <w:sz w:val="32"/>
          <w:szCs w:val="32"/>
        </w:rPr>
        <w:t>2136.67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1709.37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44.44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val="en-US" w:eastAsia="zh-CN"/>
        </w:rPr>
        <w:t>主要原因：基本建设项目支出减少。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二、收入预算总体情况说明</w:t>
      </w:r>
    </w:p>
    <w:p>
      <w:pPr>
        <w:spacing w:line="360" w:lineRule="auto"/>
        <w:ind w:firstLine="624" w:firstLineChars="200"/>
        <w:outlineLvl w:val="0"/>
        <w:rPr>
          <w:rFonts w:hint="eastAsia" w:ascii="Arial" w:hAnsi="Arial" w:eastAsia="仿宋_GB2312" w:cs="Arial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default" w:ascii="Arial" w:hAnsi="Arial" w:eastAsia="仿宋_GB2312" w:cs="Arial"/>
          <w:sz w:val="32"/>
          <w:szCs w:val="32"/>
        </w:rPr>
        <w:t>2136.67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default" w:ascii="Arial" w:hAnsi="Arial" w:eastAsia="仿宋_GB2312" w:cs="Arial"/>
          <w:sz w:val="32"/>
          <w:szCs w:val="32"/>
        </w:rPr>
        <w:t>2136.67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Arial" w:hAnsi="Arial" w:eastAsia="仿宋_GB2312" w:cs="Arial"/>
          <w:color w:val="0000FF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三、支出预算总体情况说明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default" w:ascii="Arial" w:hAnsi="Arial" w:eastAsia="仿宋_GB2312" w:cs="Arial"/>
          <w:sz w:val="32"/>
          <w:szCs w:val="32"/>
        </w:rPr>
        <w:t>2136.67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default" w:ascii="Arial" w:hAnsi="Arial" w:eastAsia="仿宋_GB2312" w:cs="Arial"/>
          <w:sz w:val="32"/>
          <w:szCs w:val="32"/>
        </w:rPr>
        <w:t>85.87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4.02%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default" w:ascii="Arial" w:hAnsi="Arial" w:eastAsia="仿宋_GB2312" w:cs="Arial"/>
          <w:sz w:val="32"/>
          <w:szCs w:val="32"/>
        </w:rPr>
        <w:t>2050.8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95.98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 xml:space="preserve"> 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四、财政拨款收入支出预算总体情况说明</w:t>
      </w:r>
    </w:p>
    <w:p>
      <w:pPr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default" w:ascii="Arial" w:hAnsi="Arial" w:eastAsia="仿宋_GB2312" w:cs="Arial"/>
          <w:sz w:val="32"/>
          <w:szCs w:val="32"/>
        </w:rPr>
        <w:t>2136.67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" w:hAnsi="仿宋" w:eastAsia="仿宋" w:cs="仿宋"/>
          <w:sz w:val="32"/>
          <w:szCs w:val="32"/>
        </w:rPr>
        <w:t>政府性基金收支预算0万元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1709.37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44.44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val="en-US" w:eastAsia="zh-CN"/>
        </w:rPr>
        <w:t>主要原因：基本建设项目支出减少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无政府性基金预算。</w:t>
      </w:r>
    </w:p>
    <w:p>
      <w:pPr>
        <w:spacing w:line="360" w:lineRule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年一般公共预算支出年初预算为</w:t>
      </w:r>
      <w:r>
        <w:rPr>
          <w:rFonts w:hint="default" w:ascii="Arial" w:hAnsi="Arial" w:eastAsia="仿宋_GB2312" w:cs="Arial"/>
          <w:color w:val="auto"/>
          <w:sz w:val="32"/>
          <w:szCs w:val="32"/>
        </w:rPr>
        <w:t>2136.67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一般公共服务支出</w:t>
      </w:r>
      <w:r>
        <w:rPr>
          <w:rFonts w:hint="default" w:ascii="Arial" w:hAnsi="Arial" w:eastAsia="仿宋_GB2312" w:cs="Arial"/>
          <w:color w:val="auto"/>
          <w:sz w:val="32"/>
          <w:szCs w:val="32"/>
        </w:rPr>
        <w:t>85.87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4.02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1847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86.44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%；医疗卫生与计划生育支出203.8万元，占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9.54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%；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85.87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2"/>
          <w:szCs w:val="32"/>
          <w:lang w:val="en-US" w:eastAsia="zh-CN"/>
        </w:rPr>
        <w:t>81.74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主要包括：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基本工资、津贴补贴、奖金、绩效工资、机关事业单位基本养老保险缴费、职业年金缴费、医疗保险缴费、其他社会保障缴费、住房公积金、其他工资福利支出、离休费、退休费、其他对个人和家庭的补助支出；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4.13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主要包括：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办公费、印刷费、水费、电费、邮电费、取暖费、差旅费、维修（护）费、租赁费、会议费、培训费、公务接待费、专用材料费、劳务费、委托业务费、福利费、其他商品和服务支出、办公设备购置、信息网络及软件购置更新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 xml:space="preserve"> 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七、政府性基金预算支出预算情况说明</w:t>
      </w:r>
    </w:p>
    <w:p>
      <w:pPr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国有资本经营预算支出预算情况说明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年没有使用政国有资本经营预算拨款安排的支出。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九、“三公”经费支出预算情况说明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具体支出情况如下：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公务用车购置及运行费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1.3万元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  <w:t>。其中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公务用车购置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val="en-US" w:eastAsia="zh-CN"/>
        </w:rPr>
        <w:t>0元，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公务用车运行维护费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val="en-US" w:eastAsia="zh-CN"/>
        </w:rPr>
        <w:t>1.3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  <w:t>万元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val="en-US" w:eastAsia="zh-CN"/>
        </w:rPr>
        <w:t>1.3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主要用于：低保复核。</w:t>
      </w:r>
    </w:p>
    <w:p>
      <w:pPr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  <w:t>。</w:t>
      </w:r>
    </w:p>
    <w:p>
      <w:pPr>
        <w:spacing w:line="360" w:lineRule="auto"/>
        <w:ind w:firstLine="620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pacing w:val="-1"/>
          <w:kern w:val="0"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低保复核，比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2017年预算数减少0.92万元。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92%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1.83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,增长了79.57%。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主要原因：根据工作实际情况，合理增加。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2018年政府采购预算安排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（三）关于预算绩效管理工作开展情况说明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2017年，我部门对1个项目进行了预算绩效评价，涉及资金250万元。2018年，我部门纳入预算绩效管理的支出总额为2050.8万元，其中人员经费支出79.92万元，公用经费支出5.95万元，支出项目共68个，支出总额2050.8万元，其中预算支出100万元及100万元以上项目10个，支出总额2050.8万元。 </w:t>
      </w:r>
    </w:p>
    <w:p>
      <w:pPr>
        <w:spacing w:line="360" w:lineRule="auto"/>
        <w:ind w:left="404" w:left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2017年期末，民政服务中心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固定资产总额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3,330.32万元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无房屋建筑物及车辆，无单价50万元以上通用设备及单价100万元以上专用设备。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民政服务中心部门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FF0000"/>
          <w:sz w:val="32"/>
          <w:szCs w:val="32"/>
        </w:rPr>
      </w:pP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abstractNum w:abstractNumId="1536747039">
    <w:nsid w:val="5B98E61F"/>
    <w:multiLevelType w:val="singleLevel"/>
    <w:tmpl w:val="5B98E61F"/>
    <w:lvl w:ilvl="0" w:tentative="1">
      <w:start w:val="1"/>
      <w:numFmt w:val="chineseCounting"/>
      <w:suff w:val="nothing"/>
      <w:lvlText w:val="（%1）"/>
      <w:lvlJc w:val="left"/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abstractNum w:abstractNumId="1536747071">
    <w:nsid w:val="5B98E63F"/>
    <w:multiLevelType w:val="singleLevel"/>
    <w:tmpl w:val="5B98E63F"/>
    <w:lvl w:ilvl="0" w:tentative="1">
      <w:start w:val="2"/>
      <w:numFmt w:val="chineseCounting"/>
      <w:suff w:val="nothing"/>
      <w:lvlText w:val="（%1）"/>
      <w:lvlJc w:val="left"/>
    </w:lvl>
  </w:abstractNum>
  <w:num w:numId="1">
    <w:abstractNumId w:val="1517907436"/>
  </w:num>
  <w:num w:numId="2">
    <w:abstractNumId w:val="1536747039"/>
  </w:num>
  <w:num w:numId="3">
    <w:abstractNumId w:val="1536747071"/>
  </w:num>
  <w:num w:numId="4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styleId="5">
    <w:name w:val="page number"/>
    <w:basedOn w:val="4"/>
    <w:qFormat/>
    <w:uiPriority w:val="0"/>
    <w:rPr/>
  </w:style>
  <w:style w:type="character" w:styleId="6">
    <w:name w:val="Hyperlink"/>
    <w:basedOn w:val="4"/>
    <w:qFormat/>
    <w:uiPriority w:val="0"/>
    <w:rPr>
      <w:color w:val="2D64B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582</Words>
  <Characters>3321</Characters>
  <Lines>27</Lines>
  <Paragraphs>7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2019-02-26T03:07:02Z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