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招商融资促进局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招商融资促进局2018年部门预算情况说明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招商融资促进局2018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招商融资促进局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焦作市城乡一体化示范区招商融资促进局下设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外来投资服务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中心、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电子商务发展促进中心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两个事业单位，规格为副县级，经费形式为示范区财政全额拨款。实有人数6名，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1人，在职5人，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：副县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，正科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副科级干部 1人、科员1人。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部门职责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负责制定招商计划，编制招商文件，搜集、整理和研究招商引资有关政策，收集项目技术信息，建设招商引资项目库，开展投资咨询服务，做好招商引资的各项基础工作；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负责对外招商宣传、形象策划，接待外来投资客商以及组织和参与国内外重大招商活动和会议；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负责外来投资项目的洽谈，可行性研究报告和合同章程的审查审批；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负责与市政府有关部门、市内科研院所、大企业的联系，不断充实完善示范区招商引资项目库；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负责投资企业与管委会各职能部门、驻区行政执法部门及支撑服务体系等部门的协调和联系，协助外来投资项目入区注册，对外来投资项目提供全程服务；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负责协调区内企业的对外招商工作；负责对外资企业的经济监督、协调和服务。</w:t>
      </w:r>
    </w:p>
    <w:p>
      <w:pPr>
        <w:spacing w:line="560" w:lineRule="exact"/>
        <w:ind w:firstLine="624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负责组织推介“焦作市电商园”优质投资环境，引进电商项目，开展电商专题招商。</w:t>
      </w:r>
    </w:p>
    <w:p>
      <w:pPr>
        <w:numPr>
          <w:numId w:val="0"/>
        </w:numPr>
        <w:kinsoku w:val="0"/>
        <w:overflowPunct w:val="0"/>
        <w:adjustRightInd w:val="0"/>
        <w:snapToGrid w:val="0"/>
        <w:spacing w:line="360" w:lineRule="auto"/>
        <w:ind w:right="3569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招商融资促进局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预算单位构成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1440" w:right="1531" w:bottom="1440" w:left="1587" w:header="850" w:footer="992" w:gutter="0"/>
          <w:pgNumType w:fmt="numberInDash"/>
          <w:cols w:space="720" w:num="1"/>
          <w:rtlGutter w:val="0"/>
          <w:docGrid w:type="lines" w:linePitch="317" w:charSpace="-1839"/>
        </w:sectPr>
      </w:pPr>
      <w:r>
        <w:rPr>
          <w:rFonts w:hint="eastAsia" w:ascii="仿宋_GB2312" w:hAnsi="仿宋" w:eastAsia="仿宋_GB2312"/>
          <w:sz w:val="32"/>
          <w:lang w:val="en-US" w:eastAsia="zh-CN"/>
        </w:rPr>
        <w:t xml:space="preserve">   </w:t>
      </w:r>
      <w:r>
        <w:rPr>
          <w:rFonts w:hint="eastAsia" w:ascii="仿宋_GB2312" w:hAnsi="仿宋" w:eastAsia="仿宋_GB2312"/>
          <w:sz w:val="32"/>
        </w:rPr>
        <w:t>焦作市城乡一体化</w:t>
      </w:r>
      <w:r>
        <w:rPr>
          <w:rFonts w:hint="eastAsia" w:ascii="仿宋_GB2312" w:hAnsi="仿宋_GB2312" w:eastAsia="仿宋_GB2312"/>
          <w:sz w:val="32"/>
        </w:rPr>
        <w:t>示范区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招商融资促进局2018年</w:t>
      </w:r>
      <w:r>
        <w:rPr>
          <w:rFonts w:hint="eastAsia" w:ascii="仿宋_GB2312" w:hAnsi="仿宋_GB2312" w:eastAsia="仿宋_GB2312"/>
          <w:color w:val="000000"/>
          <w:sz w:val="32"/>
          <w:lang w:val="zh-CN"/>
        </w:rPr>
        <w:t>部门预算为</w:t>
      </w:r>
      <w:r>
        <w:rPr>
          <w:rFonts w:hint="eastAsia" w:ascii="仿宋_GB2312" w:hAnsi="仿宋_GB2312" w:eastAsia="仿宋_GB2312"/>
          <w:sz w:val="32"/>
        </w:rPr>
        <w:t>本级预算</w:t>
      </w:r>
      <w:r>
        <w:rPr>
          <w:rFonts w:hint="eastAsia" w:ascii="仿宋_GB2312" w:hAnsi="仿宋_GB2312" w:eastAsia="仿宋_GB2312"/>
          <w:sz w:val="32"/>
          <w:lang w:eastAsia="zh-CN"/>
        </w:rPr>
        <w:t>。</w:t>
      </w:r>
    </w:p>
    <w:p>
      <w:pPr>
        <w:numPr>
          <w:numId w:val="0"/>
        </w:numPr>
        <w:kinsoku w:val="0"/>
        <w:overflowPunct w:val="0"/>
        <w:adjustRightInd w:val="0"/>
        <w:snapToGrid w:val="0"/>
        <w:spacing w:line="360" w:lineRule="auto"/>
        <w:ind w:right="3569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numPr>
          <w:numId w:val="0"/>
        </w:numPr>
        <w:kinsoku w:val="0"/>
        <w:overflowPunct w:val="0"/>
        <w:adjustRightInd w:val="0"/>
        <w:snapToGrid w:val="0"/>
        <w:spacing w:line="360" w:lineRule="auto"/>
        <w:ind w:right="3569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numPr>
          <w:numId w:val="0"/>
        </w:numPr>
        <w:kinsoku w:val="0"/>
        <w:overflowPunct w:val="0"/>
        <w:adjustRightInd w:val="0"/>
        <w:snapToGrid w:val="0"/>
        <w:spacing w:line="360" w:lineRule="auto"/>
        <w:ind w:right="3569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招商融资促进局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招商融资促进局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收入2239.77万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元，支出总计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2239.77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1741.28万元，增长300.49%。主要原因：增加了一个现代服务业发展专项。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招商融资促进局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2239.77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2239.77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万元;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国有资本经营预算收入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万元；其他收入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招商融资促进局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2239.77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86.27万元，占3.85%；项目支出2153.5万元，占96.15%。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招商融资促进局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年一般公共预算收支预算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2239.77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年相比，一般公共预算收支预算增加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1741.28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300.49%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增加了一个现代服务业发展专项。</w:t>
      </w:r>
      <w:r>
        <w:rPr>
          <w:rFonts w:hint="eastAsia" w:ascii="仿宋_GB2312" w:hAnsi="仿宋_GB2312" w:eastAsia="仿宋_GB2312"/>
          <w:sz w:val="32"/>
        </w:rPr>
        <w:t>无政府性基金预算。</w:t>
      </w:r>
    </w:p>
    <w:p>
      <w:pPr>
        <w:spacing w:line="560" w:lineRule="exact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招商融资促进局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</w:t>
      </w:r>
      <w:r>
        <w:rPr>
          <w:rFonts w:hint="default" w:ascii="仿宋_GB2312" w:hAnsi="仿宋_GB2312" w:eastAsia="仿宋_GB2312" w:cs="仿宋_GB2312"/>
          <w:sz w:val="32"/>
          <w:szCs w:val="32"/>
        </w:rPr>
        <w:t>2239.77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</w:t>
      </w:r>
      <w:r>
        <w:rPr>
          <w:rFonts w:hint="default" w:ascii="仿宋_GB2312" w:hAnsi="仿宋_GB2312" w:eastAsia="仿宋_GB2312" w:cs="仿宋_GB2312"/>
          <w:sz w:val="32"/>
          <w:szCs w:val="32"/>
        </w:rPr>
        <w:t>234.36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10.46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%；科学技术支出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89.3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%；社会保障和就业支出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5.41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0.24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招商融资促进局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86.27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78.78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基本工资、津贴补贴、奖金、机关事业单位基本养老保险缴费、职业年金缴费、医疗保险缴费、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公务员医疗补助、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其他社会保障缴费、住房公积金；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7.49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，主要包括：办公费、印刷费、水费、电费、邮电费、差旅费、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劳务费、工会经费、福利费、其他交通费用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、其他商品和服务支出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年没有使用政府性基金预算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拨款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预算拨款安排的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numPr>
          <w:numId w:val="0"/>
        </w:num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招商融资促进局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2.85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7.34%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万元，与2017年持平。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与2017年持平。</w:t>
      </w:r>
    </w:p>
    <w:p>
      <w:pPr>
        <w:spacing w:line="56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接待外来客商，比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2017年预算数减少2.85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7.34%，主要原因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按照规定减少三公支出。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line="560" w:lineRule="exact"/>
        <w:ind w:left="0" w:leftChars="0" w:right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招商融资促进局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7.49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万元，主要保障机关机构正常运转及正常履职需要的办公费、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印刷费、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水电费、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邮电费、差旅费、劳务费、其他交通费用、其他商品和服务支出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1.44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16.13%，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主要原因：严格执行中央“八项规定”，控制相关开支，厉行节约。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政府采购货物预算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pStyle w:val="3"/>
        <w:ind w:firstLine="640" w:firstLineChars="200"/>
        <w:rPr>
          <w:rFonts w:hint="default" w:ascii="仿宋_GB2312" w:eastAsia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</w:rPr>
        <w:t>我单位2017年</w:t>
      </w:r>
      <w:r>
        <w:rPr>
          <w:rFonts w:hint="eastAsia" w:ascii="仿宋_GB2312" w:hAnsi="仿宋" w:eastAsia="仿宋_GB2312"/>
          <w:sz w:val="32"/>
        </w:rPr>
        <w:t>对1个项目进行了预算绩效评价，涉及资</w:t>
      </w:r>
      <w:r>
        <w:rPr>
          <w:rFonts w:hint="eastAsia" w:ascii="仿宋_GB2312" w:hAnsi="仿宋" w:eastAsia="仿宋_GB2312"/>
          <w:sz w:val="32"/>
          <w:lang w:eastAsia="zh-CN"/>
        </w:rPr>
        <w:t>金</w:t>
      </w:r>
      <w:r>
        <w:rPr>
          <w:rFonts w:hint="eastAsia" w:ascii="仿宋_GB2312" w:hAnsi="仿宋" w:eastAsia="仿宋_GB2312"/>
          <w:sz w:val="32"/>
          <w:lang w:val="en-US" w:eastAsia="zh-CN"/>
        </w:rPr>
        <w:t>0.5</w:t>
      </w:r>
      <w:r>
        <w:rPr>
          <w:rFonts w:hint="eastAsia" w:ascii="仿宋_GB2312" w:hAnsi="仿宋" w:eastAsia="仿宋_GB2312"/>
          <w:sz w:val="32"/>
        </w:rPr>
        <w:t>万元。2018年，我单位纳入预算绩效管理的支出总额为</w:t>
      </w:r>
      <w:r>
        <w:rPr>
          <w:rFonts w:hint="eastAsia" w:ascii="仿宋_GB2312" w:hAnsi="仿宋" w:eastAsia="仿宋_GB2312"/>
          <w:sz w:val="32"/>
          <w:lang w:val="en-US" w:eastAsia="zh-CN"/>
        </w:rPr>
        <w:t>2239.77</w:t>
      </w:r>
      <w:r>
        <w:rPr>
          <w:rFonts w:hint="eastAsia" w:ascii="仿宋_GB2312" w:hAnsi="仿宋" w:eastAsia="仿宋_GB2312"/>
          <w:sz w:val="32"/>
        </w:rPr>
        <w:t>万元，其中人员经费支出</w:t>
      </w:r>
      <w:r>
        <w:rPr>
          <w:rFonts w:hint="eastAsia" w:ascii="仿宋_GB2312" w:hAnsi="仿宋" w:eastAsia="仿宋_GB2312"/>
          <w:sz w:val="32"/>
          <w:lang w:val="en-US" w:eastAsia="zh-CN"/>
        </w:rPr>
        <w:t>78.78</w:t>
      </w:r>
      <w:r>
        <w:rPr>
          <w:rFonts w:hint="eastAsia" w:ascii="仿宋_GB2312" w:hAnsi="仿宋" w:eastAsia="仿宋_GB2312"/>
          <w:sz w:val="32"/>
        </w:rPr>
        <w:t>万元，公用经费支出</w:t>
      </w:r>
      <w:r>
        <w:rPr>
          <w:rFonts w:hint="eastAsia" w:ascii="仿宋_GB2312" w:hAnsi="仿宋" w:eastAsia="仿宋_GB2312"/>
          <w:sz w:val="32"/>
          <w:lang w:val="en-US" w:eastAsia="zh-CN"/>
        </w:rPr>
        <w:t>7.49</w:t>
      </w:r>
      <w:r>
        <w:rPr>
          <w:rFonts w:hint="eastAsia" w:ascii="仿宋_GB2312" w:hAnsi="仿宋" w:eastAsia="仿宋_GB2312"/>
          <w:sz w:val="32"/>
        </w:rPr>
        <w:t>万元，支出项目共</w:t>
      </w:r>
      <w:r>
        <w:rPr>
          <w:rFonts w:hint="eastAsia" w:ascii="仿宋_GB2312" w:hAnsi="仿宋" w:eastAsia="仿宋_GB2312"/>
          <w:sz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</w:rPr>
        <w:t>个，支出总额</w:t>
      </w:r>
      <w:r>
        <w:rPr>
          <w:rFonts w:hint="eastAsia" w:ascii="仿宋_GB2312" w:hAnsi="仿宋" w:eastAsia="仿宋_GB2312"/>
          <w:sz w:val="32"/>
          <w:lang w:val="en-US" w:eastAsia="zh-CN"/>
        </w:rPr>
        <w:t>2153.50</w:t>
      </w:r>
      <w:r>
        <w:rPr>
          <w:rFonts w:hint="eastAsia" w:ascii="仿宋_GB2312" w:hAnsi="仿宋" w:eastAsia="仿宋_GB2312"/>
          <w:sz w:val="32"/>
        </w:rPr>
        <w:t>万元，其中预算支出100万元及100万元以上项目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个，支出总额</w:t>
      </w:r>
      <w:r>
        <w:rPr>
          <w:rFonts w:hint="eastAsia" w:ascii="仿宋_GB2312" w:hAnsi="仿宋" w:eastAsia="仿宋_GB2312"/>
          <w:sz w:val="32"/>
          <w:lang w:val="en-US" w:eastAsia="zh-CN"/>
        </w:rPr>
        <w:t>2150</w:t>
      </w:r>
      <w:r>
        <w:rPr>
          <w:rFonts w:hint="eastAsia" w:ascii="仿宋_GB2312" w:hAnsi="仿宋" w:eastAsia="仿宋_GB2312"/>
          <w:sz w:val="32"/>
        </w:rPr>
        <w:t>万元。</w:t>
      </w:r>
    </w:p>
    <w:p>
      <w:pPr>
        <w:numPr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招商融资促进局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44.44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万元，其中，房屋建筑物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0万元，车辆34.23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全部上交公车平台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tabs>
          <w:tab w:val="left" w:pos="387"/>
        </w:tabs>
        <w:kinsoku w:val="0"/>
        <w:overflowPunct w:val="0"/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招商融资促进局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72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隶书">
    <w:altName w:val="微软雅黑"/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ËÎÌå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imes New Roman Cyr">
    <w:altName w:val="Times New Roman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Times New Roman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Times New Roman Tur">
    <w:altName w:val="Times New Roman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imes New Roman (Arabic)">
    <w:altName w:val="Times New Roman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imes New Roman Baltic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(Vietnamese)">
    <w:altName w:val="Times New Roman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imHei Western">
    <w:altName w:val="黑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·ÂËÎ Western">
    <w:altName w:val="微软雅黑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 CE">
    <w:altName w:val="Calibri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libri Cyr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libri Greek">
    <w:altName w:val="Calibri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libri Tur">
    <w:altName w:val="Calibri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libri Baltic">
    <w:altName w:val="Calibri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libri (Vietnamese)">
    <w:altName w:val="Calibri"/>
    <w:panose1 w:val="00000000000000000000"/>
    <w:charset w:val="A3"/>
    <w:family w:val="auto"/>
    <w:pitch w:val="default"/>
    <w:sig w:usb0="00000000" w:usb1="00000000" w:usb2="00000000" w:usb3="00000000" w:csb0="000001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36896170">
    <w:nsid w:val="5B9B2CAA"/>
    <w:multiLevelType w:val="singleLevel"/>
    <w:tmpl w:val="5B9B2CAA"/>
    <w:lvl w:ilvl="0" w:tentative="1">
      <w:start w:val="1"/>
      <w:numFmt w:val="chineseCounting"/>
      <w:suff w:val="nothing"/>
      <w:lvlText w:val="（%1）"/>
      <w:lvlJc w:val="left"/>
    </w:lvl>
  </w:abstractNum>
  <w:abstractNum w:abstractNumId="1517907436">
    <w:nsid w:val="5A796DEC"/>
    <w:multiLevelType w:val="singleLevel"/>
    <w:tmpl w:val="5A796DEC"/>
    <w:lvl w:ilvl="0" w:tentative="1">
      <w:start w:val="1"/>
      <w:numFmt w:val="chineseCounting"/>
      <w:suff w:val="nothing"/>
      <w:lvlText w:val="%1、"/>
      <w:lvlJc w:val="left"/>
    </w:lvl>
  </w:abstractNum>
  <w:abstractNum w:abstractNumId="1515138474">
    <w:nsid w:val="5A4F2DAA"/>
    <w:multiLevelType w:val="singleLevel"/>
    <w:tmpl w:val="5A4F2DAA"/>
    <w:lvl w:ilvl="0" w:tentative="1">
      <w:start w:val="1"/>
      <w:numFmt w:val="chineseCounting"/>
      <w:suff w:val="nothing"/>
      <w:lvlText w:val="（%1）"/>
      <w:lvlJc w:val="left"/>
    </w:lvl>
  </w:abstractNum>
  <w:num w:numId="1">
    <w:abstractNumId w:val="1517907436"/>
  </w:num>
  <w:num w:numId="2">
    <w:abstractNumId w:val="1536896170"/>
  </w:num>
  <w:num w:numId="3">
    <w:abstractNumId w:val="15151384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paragraph" w:customStyle="1" w:styleId="3">
    <w:name w:val="p0"/>
    <w:basedOn w:val="1"/>
    <w:uiPriority w:val="0"/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2018-11-02T09:21:43Z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