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525" w:lineRule="atLeast"/>
        <w:jc w:val="center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20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val="en-US" w:eastAsia="zh-CN"/>
        </w:rPr>
        <w:t>19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eastAsia="zh-CN"/>
        </w:rPr>
        <w:t>示范区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预算公开情况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eastAsia="zh-CN"/>
        </w:rPr>
        <w:t>补充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说明</w:t>
      </w:r>
    </w:p>
    <w:p>
      <w:pPr>
        <w:widowControl/>
        <w:spacing w:line="525" w:lineRule="atLeast"/>
        <w:jc w:val="center"/>
        <w:rPr>
          <w:rFonts w:hint="eastAsia" w:ascii="宋体" w:hAnsi="宋体" w:cs="宋体"/>
          <w:b/>
          <w:bCs/>
          <w:kern w:val="0"/>
          <w:sz w:val="38"/>
          <w:szCs w:val="38"/>
        </w:rPr>
      </w:pPr>
    </w:p>
    <w:p>
      <w:pPr>
        <w:widowControl/>
        <w:spacing w:line="525" w:lineRule="atLeast"/>
        <w:ind w:firstLine="627" w:firstLineChars="196"/>
        <w:rPr>
          <w:rFonts w:hint="eastAsia" w:ascii="仿宋_GB2312" w:eastAsia="仿宋_GB2312" w:cs="仿宋_GB2312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一、转移支付情况</w:t>
      </w:r>
    </w:p>
    <w:p>
      <w:pPr>
        <w:adjustRightInd w:val="0"/>
        <w:snapToGrid w:val="0"/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</w:rPr>
        <w:t>上级补助收入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17936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万元，其中：返还性收入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1520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万元，一般性转移支付收入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11028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万元，专项转移支付收入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516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万元。</w:t>
      </w:r>
      <w:r>
        <w:rPr>
          <w:rFonts w:hint="eastAsia" w:ascii="仿宋_GB2312" w:eastAsia="仿宋_GB2312"/>
          <w:sz w:val="32"/>
          <w:szCs w:val="32"/>
          <w:highlight w:val="none"/>
        </w:rPr>
        <w:t>具体项目情况是：</w:t>
      </w:r>
    </w:p>
    <w:p>
      <w:pPr>
        <w:adjustRightInd w:val="0"/>
        <w:snapToGrid w:val="0"/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1、返还性收入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1521</w:t>
      </w:r>
      <w:r>
        <w:rPr>
          <w:rFonts w:hint="eastAsia" w:ascii="仿宋_GB2312" w:eastAsia="仿宋_GB2312"/>
          <w:sz w:val="32"/>
          <w:szCs w:val="32"/>
          <w:highlight w:val="none"/>
        </w:rPr>
        <w:t>万元，其中，原增值税税收返还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1148</w:t>
      </w:r>
      <w:r>
        <w:rPr>
          <w:rFonts w:hint="eastAsia" w:ascii="仿宋_GB2312" w:eastAsia="仿宋_GB2312"/>
          <w:sz w:val="32"/>
          <w:szCs w:val="32"/>
          <w:highlight w:val="none"/>
        </w:rPr>
        <w:t>万元，所得税基数返还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</w:rPr>
        <w:t>万元，成品油税费改革税收返还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67</w:t>
      </w:r>
      <w:r>
        <w:rPr>
          <w:rFonts w:hint="eastAsia" w:ascii="仿宋_GB2312" w:eastAsia="仿宋_GB2312"/>
          <w:sz w:val="32"/>
          <w:szCs w:val="32"/>
          <w:highlight w:val="none"/>
        </w:rPr>
        <w:t>万元，营改增后增值税收入划分税收返还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303</w:t>
      </w:r>
      <w:r>
        <w:rPr>
          <w:rFonts w:hint="eastAsia" w:ascii="仿宋_GB2312" w:eastAsia="仿宋_GB2312"/>
          <w:sz w:val="32"/>
          <w:szCs w:val="32"/>
          <w:highlight w:val="none"/>
        </w:rPr>
        <w:t>万元。</w:t>
      </w:r>
    </w:p>
    <w:p>
      <w:pPr>
        <w:adjustRightInd w:val="0"/>
        <w:snapToGrid w:val="0"/>
        <w:spacing w:line="576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2、一般性转移支付收入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,11028</w:t>
      </w:r>
      <w:r>
        <w:rPr>
          <w:rFonts w:hint="eastAsia" w:ascii="仿宋_GB2312" w:eastAsia="仿宋_GB2312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其中，均衡性转移支付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928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万元，结算补助收入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万元，城乡义务教育转移支付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1495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万元，社会保障和就业转移支付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1014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万元，卫生健康转移支付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1154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基本养老金转移支付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2747，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固定数额补助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504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，市县结算补助收入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3157万元。</w:t>
      </w:r>
    </w:p>
    <w:p>
      <w:pPr>
        <w:adjustRightInd w:val="0"/>
        <w:snapToGrid w:val="0"/>
        <w:spacing w:line="576" w:lineRule="exact"/>
        <w:ind w:firstLine="640" w:firstLineChars="200"/>
        <w:rPr>
          <w:rFonts w:hint="eastAsia" w:ascii="仿宋_GB2312" w:eastAsia="仿宋_GB2312"/>
          <w:b/>
          <w:bCs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3、专项转移支付收入5388万元，其中，国防转移支付14万元，教育转移支付319万元，文化旅游体育与传媒转移支付36万元，社会保障和就业转移支付292万元，卫生健康转移支付46万元，农林水转移支付2077万元，商业服务业转移支付28万元，住房保障转移支付2576万元。</w:t>
      </w:r>
    </w:p>
    <w:p>
      <w:pPr>
        <w:adjustRightInd w:val="0"/>
        <w:snapToGrid w:val="0"/>
        <w:spacing w:line="600" w:lineRule="exact"/>
        <w:ind w:firstLine="645"/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二、专项转移支付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文星仿宋" w:eastAsia="仿宋_GB2312"/>
          <w:sz w:val="32"/>
          <w:szCs w:val="32"/>
        </w:rPr>
      </w:pPr>
      <w:r>
        <w:rPr>
          <w:rFonts w:hint="eastAsia" w:ascii="仿宋_GB2312" w:hAnsi="文星仿宋" w:eastAsia="仿宋_GB2312"/>
          <w:sz w:val="32"/>
          <w:szCs w:val="32"/>
        </w:rPr>
        <w:t>截止2018年12月底，上级共提前告知我区专项转移支付补助资金</w:t>
      </w:r>
      <w:r>
        <w:rPr>
          <w:rFonts w:hint="eastAsia" w:ascii="仿宋_GB2312" w:hAnsi="文星仿宋" w:eastAsia="仿宋_GB2312"/>
          <w:sz w:val="32"/>
          <w:szCs w:val="32"/>
          <w:lang w:val="en-US" w:eastAsia="zh-CN"/>
        </w:rPr>
        <w:t>5388万</w:t>
      </w:r>
      <w:r>
        <w:rPr>
          <w:rFonts w:hint="eastAsia" w:ascii="仿宋_GB2312" w:hAnsi="文星仿宋" w:eastAsia="仿宋_GB2312"/>
          <w:sz w:val="32"/>
          <w:szCs w:val="32"/>
        </w:rPr>
        <w:t>元，主要有：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文星仿宋" w:eastAsia="仿宋_GB2312"/>
          <w:sz w:val="32"/>
          <w:szCs w:val="32"/>
        </w:rPr>
      </w:pPr>
      <w:r>
        <w:rPr>
          <w:rFonts w:hint="eastAsia" w:ascii="仿宋_GB2312" w:hAnsi="文星仿宋" w:eastAsia="仿宋_GB2312"/>
          <w:sz w:val="32"/>
          <w:szCs w:val="32"/>
        </w:rPr>
        <w:t>1.教育支出319万元，主要是上级下达的学前教育发展资金315万元等。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文星仿宋" w:eastAsia="仿宋_GB2312"/>
          <w:sz w:val="32"/>
          <w:szCs w:val="32"/>
        </w:rPr>
      </w:pPr>
      <w:r>
        <w:rPr>
          <w:rFonts w:hint="eastAsia" w:ascii="仿宋_GB2312" w:hAnsi="文星仿宋" w:eastAsia="仿宋_GB2312"/>
          <w:sz w:val="32"/>
          <w:szCs w:val="32"/>
        </w:rPr>
        <w:t>2.文化旅游体育与传媒支出</w:t>
      </w:r>
      <w:r>
        <w:rPr>
          <w:rFonts w:hint="eastAsia" w:ascii="仿宋_GB2312" w:hAnsi="文星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文星仿宋" w:eastAsia="仿宋_GB2312"/>
          <w:sz w:val="32"/>
          <w:szCs w:val="32"/>
        </w:rPr>
        <w:t>6万元,主要是上级下达的中央公共文化服务体系建设36万元等。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文星仿宋" w:eastAsia="仿宋_GB2312"/>
          <w:sz w:val="32"/>
          <w:szCs w:val="32"/>
        </w:rPr>
      </w:pPr>
      <w:r>
        <w:rPr>
          <w:rFonts w:hint="eastAsia" w:ascii="仿宋_GB2312" w:hAnsi="文星仿宋" w:eastAsia="仿宋_GB2312"/>
          <w:sz w:val="32"/>
          <w:szCs w:val="32"/>
        </w:rPr>
        <w:t>3.社会保障和就业支出292万元,主要是上级下达的就业资金292万元。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文星仿宋" w:eastAsia="仿宋_GB2312"/>
          <w:sz w:val="32"/>
          <w:szCs w:val="32"/>
        </w:rPr>
      </w:pPr>
      <w:r>
        <w:rPr>
          <w:rFonts w:hint="eastAsia" w:ascii="仿宋_GB2312" w:hAnsi="文星仿宋" w:eastAsia="仿宋_GB2312"/>
          <w:sz w:val="32"/>
          <w:szCs w:val="32"/>
        </w:rPr>
        <w:t>4.卫生健康支出46万元，主要是上级下达的优抚对象医疗补助26万元、 公共卫生服务中央补助20万元等。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文星仿宋" w:eastAsia="仿宋_GB2312"/>
          <w:sz w:val="32"/>
          <w:szCs w:val="32"/>
        </w:rPr>
      </w:pPr>
      <w:r>
        <w:rPr>
          <w:rFonts w:hint="eastAsia" w:ascii="仿宋_GB2312" w:hAnsi="文星仿宋" w:eastAsia="仿宋_GB2312"/>
          <w:sz w:val="32"/>
          <w:szCs w:val="32"/>
        </w:rPr>
        <w:t>5.农林水支出2077万元，主要是上级下达的耕地地力保护补贴1462万元、农业保险补贴150万元等。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文星仿宋" w:eastAsia="仿宋_GB2312"/>
          <w:sz w:val="32"/>
          <w:szCs w:val="32"/>
        </w:rPr>
      </w:pPr>
      <w:r>
        <w:rPr>
          <w:rFonts w:hint="eastAsia" w:ascii="仿宋_GB2312" w:hAnsi="文星仿宋" w:eastAsia="仿宋_GB2312"/>
          <w:sz w:val="32"/>
          <w:szCs w:val="32"/>
        </w:rPr>
        <w:t>6.住房保障支出2576万元，主要是上级下达的保障性安居工程中央资金2576万元。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文星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文星仿宋" w:eastAsia="仿宋_GB2312"/>
          <w:sz w:val="32"/>
          <w:szCs w:val="32"/>
          <w:lang w:val="en-US" w:eastAsia="zh-CN"/>
        </w:rPr>
        <w:t>7.</w:t>
      </w:r>
      <w:r>
        <w:rPr>
          <w:rFonts w:hint="eastAsia" w:ascii="仿宋_GB2312" w:eastAsia="仿宋_GB2312"/>
          <w:sz w:val="32"/>
          <w:szCs w:val="32"/>
          <w:highlight w:val="none"/>
        </w:rPr>
        <w:t>商业服务业转移支付28万元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，主要是中央外经贸发展资金。</w:t>
      </w:r>
    </w:p>
    <w:p>
      <w:pPr>
        <w:autoSpaceDE w:val="0"/>
        <w:spacing w:line="560" w:lineRule="exact"/>
        <w:ind w:firstLine="616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-6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color w:val="000000"/>
          <w:spacing w:val="-6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201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sz w:val="32"/>
          <w:szCs w:val="32"/>
        </w:rPr>
        <w:t>年政府债务情况</w:t>
      </w:r>
    </w:p>
    <w:p>
      <w:pPr>
        <w:autoSpaceDE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eastAsia="仿宋_GB2312"/>
          <w:sz w:val="32"/>
          <w:szCs w:val="22"/>
          <w:highlight w:val="none"/>
          <w:lang w:val="en-US" w:eastAsia="zh-CN"/>
        </w:rPr>
        <w:t>省政府批准我区政府债务限额为86375万元。上级核定我区地方政府偿还类债券4523万元，按照要求偿还2019年到期的债务本金。新增一般债券资金0万元。截至年底，我区政府性债务余额为86359万元，均为一般债券。</w:t>
      </w:r>
    </w:p>
    <w:p>
      <w:pPr>
        <w:pStyle w:val="4"/>
        <w:spacing w:before="0" w:beforeAutospacing="0" w:after="0" w:afterAutospacing="0" w:line="580" w:lineRule="atLeast"/>
        <w:ind w:firstLine="640" w:firstLineChars="200"/>
        <w:jc w:val="both"/>
        <w:rPr>
          <w:rFonts w:hint="eastAsia" w:ascii="黑体" w:hAnsi="Calibri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</w:t>
      </w:r>
      <w:r>
        <w:rPr>
          <w:rFonts w:hint="eastAsia" w:ascii="黑体" w:eastAsia="黑体"/>
          <w:sz w:val="32"/>
          <w:szCs w:val="32"/>
        </w:rPr>
        <w:t>、</w:t>
      </w:r>
      <w:r>
        <w:rPr>
          <w:rFonts w:hint="eastAsia" w:ascii="黑体" w:eastAsia="黑体"/>
          <w:bCs/>
          <w:sz w:val="32"/>
          <w:szCs w:val="32"/>
        </w:rPr>
        <w:t>“三公”经费支出预算情况</w:t>
      </w:r>
    </w:p>
    <w:p>
      <w:pPr>
        <w:adjustRightInd w:val="0"/>
        <w:snapToGrid w:val="0"/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根据《河南省人民政府办公厅关于进一步深化全省部门预算改革的通知》（豫政办〔2011〕105号)要求，从2012年起各级财政部门向社会公开本级“三公”经费预决算支出。</w:t>
      </w:r>
    </w:p>
    <w:p>
      <w:pPr>
        <w:adjustRightInd w:val="0"/>
        <w:snapToGrid w:val="0"/>
        <w:spacing w:line="576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年全区一般公共预算安排“三公”经费支出预算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与上年持平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。其中：因公出国（境）费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万元，与上年持平；公务接待费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246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2019年持平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176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与上年持平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；公务用车购置费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万元，与上年持平。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580" w:lineRule="atLeast"/>
        <w:ind w:firstLine="640" w:firstLineChars="200"/>
        <w:jc w:val="both"/>
        <w:rPr>
          <w:rFonts w:hint="eastAsia" w:ascii="黑体" w:eastAsia="黑体"/>
          <w:bCs/>
          <w:sz w:val="32"/>
          <w:szCs w:val="32"/>
          <w:lang w:eastAsia="zh-CN"/>
        </w:rPr>
      </w:pPr>
      <w:r>
        <w:rPr>
          <w:rFonts w:hint="eastAsia" w:ascii="黑体" w:eastAsia="黑体"/>
          <w:bCs/>
          <w:sz w:val="32"/>
          <w:szCs w:val="32"/>
          <w:lang w:eastAsia="zh-CN"/>
        </w:rPr>
        <w:t>预算绩效工作开展情况</w:t>
      </w:r>
    </w:p>
    <w:p>
      <w:pPr>
        <w:pStyle w:val="4"/>
        <w:spacing w:before="0" w:beforeAutospacing="0" w:after="0" w:afterAutospacing="0" w:line="330" w:lineRule="atLeast"/>
        <w:ind w:firstLine="640"/>
        <w:jc w:val="both"/>
        <w:rPr>
          <w:rFonts w:hint="eastAsia" w:ascii="黑体" w:eastAsia="黑体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2019年，我区对重点项目开展了预算绩效评价，下步将按照上级的工作部署推动预算绩效工作进一步开展。</w:t>
      </w:r>
    </w:p>
    <w:p>
      <w:pPr>
        <w:pStyle w:val="4"/>
        <w:numPr>
          <w:ilvl w:val="0"/>
          <w:numId w:val="2"/>
        </w:numPr>
        <w:spacing w:before="0" w:beforeAutospacing="0" w:after="0" w:afterAutospacing="0" w:line="330" w:lineRule="atLeast"/>
        <w:ind w:firstLine="64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预算调整报告及报表情况</w:t>
      </w:r>
    </w:p>
    <w:p>
      <w:pPr>
        <w:pStyle w:val="4"/>
        <w:widowControl/>
        <w:numPr>
          <w:numId w:val="0"/>
        </w:numPr>
        <w:wordWrap/>
        <w:adjustRightInd/>
        <w:snapToGrid/>
        <w:spacing w:before="0" w:beforeAutospacing="0" w:after="0" w:afterAutospacing="0" w:line="330" w:lineRule="atLeas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截止目前，我区暂未对2019年度预算安排进行调整。</w:t>
      </w:r>
    </w:p>
    <w:p>
      <w:pPr>
        <w:pStyle w:val="4"/>
        <w:numPr>
          <w:ilvl w:val="0"/>
          <w:numId w:val="2"/>
        </w:numPr>
        <w:spacing w:before="0" w:beforeAutospacing="0" w:after="0" w:afterAutospacing="0" w:line="330" w:lineRule="atLeast"/>
        <w:ind w:left="0" w:leftChars="0" w:firstLine="640" w:firstLine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财政扶贫资金</w:t>
      </w:r>
    </w:p>
    <w:p>
      <w:pPr>
        <w:pStyle w:val="4"/>
        <w:numPr>
          <w:numId w:val="0"/>
        </w:numPr>
        <w:spacing w:before="0" w:beforeAutospacing="0" w:after="0" w:afterAutospacing="0" w:line="330" w:lineRule="atLeas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我区无建档立卡贫困人口，为非贫困区，因此我区2019年度财政扶贫资金无预算安排。</w:t>
      </w:r>
    </w:p>
    <w:p>
      <w:pPr>
        <w:pStyle w:val="4"/>
        <w:numPr>
          <w:numId w:val="0"/>
        </w:numPr>
        <w:spacing w:before="0" w:beforeAutospacing="0" w:after="0" w:afterAutospacing="0" w:line="330" w:lineRule="atLeast"/>
        <w:ind w:left="640" w:left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仿宋">
    <w:altName w:val="宋体"/>
    <w:panose1 w:val="02010604000101010101"/>
    <w:charset w:val="86"/>
    <w:family w:val="auto"/>
    <w:pitch w:val="default"/>
    <w:sig w:usb0="00000003" w:usb1="080E0000" w:usb2="0000001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7285300">
    <w:nsid w:val="02D18434"/>
    <w:multiLevelType w:val="singleLevel"/>
    <w:tmpl w:val="02D18434"/>
    <w:lvl w:ilvl="0" w:tentative="1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986464830">
    <w:nsid w:val="3ACC423E"/>
    <w:multiLevelType w:val="singleLevel"/>
    <w:tmpl w:val="3ACC423E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986464830"/>
  </w:num>
  <w:num w:numId="2">
    <w:abstractNumId w:val="472853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2020-06-16T15:24:00Z</dcterms:created>
  <dc:creator>杨某某</dc:creator>
  <cp:lastModifiedBy>Administrator</cp:lastModifiedBy>
  <dcterms:modified xsi:type="dcterms:W3CDTF">2021-06-04T12:12:42Z</dcterms:modified>
  <dc:title>2020年示范区预算公开情况补充说明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