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ascii="Helvetica" w:hAnsi="Helvetica" w:eastAsia="Helvetica" w:cs="Helvetica"/>
          <w:i w:val="0"/>
          <w:iCs w:val="0"/>
          <w:caps w:val="0"/>
          <w:color w:val="000000"/>
          <w:spacing w:val="0"/>
        </w:rPr>
      </w:pPr>
      <w:r>
        <w:rPr>
          <w:rFonts w:hint="default" w:ascii="Helvetica" w:hAnsi="Helvetica" w:eastAsia="Helvetica" w:cs="Helvetica"/>
          <w:i w:val="0"/>
          <w:iCs w:val="0"/>
          <w:caps w:val="0"/>
          <w:color w:val="000000"/>
          <w:spacing w:val="0"/>
        </w:rPr>
        <w:t>阳庙镇2021年政府信息公开工作</w:t>
      </w:r>
      <w:r>
        <w:rPr>
          <w:rFonts w:hint="eastAsia" w:ascii="Helvetica" w:hAnsi="Helvetica" w:cs="Helvetica"/>
          <w:i w:val="0"/>
          <w:iCs w:val="0"/>
          <w:caps w:val="0"/>
          <w:color w:val="000000"/>
          <w:spacing w:val="0"/>
          <w:lang w:val="en-US" w:eastAsia="zh-CN"/>
        </w:rPr>
        <w:t xml:space="preserve">    </w:t>
      </w:r>
      <w:bookmarkStart w:id="0" w:name="_GoBack"/>
      <w:bookmarkEnd w:id="0"/>
      <w:r>
        <w:rPr>
          <w:rFonts w:hint="default" w:ascii="Helvetica" w:hAnsi="Helvetica" w:eastAsia="Helvetica" w:cs="Helvetica"/>
          <w:i w:val="0"/>
          <w:iCs w:val="0"/>
          <w:caps w:val="0"/>
          <w:color w:val="000000"/>
          <w:spacing w:val="0"/>
        </w:rPr>
        <w:t>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0" w:right="0"/>
        <w:rPr>
          <w:b/>
          <w:bCs/>
          <w:sz w:val="24"/>
          <w:szCs w:val="24"/>
        </w:rPr>
      </w:pPr>
      <w:r>
        <w:rPr>
          <w:b/>
          <w:bCs/>
          <w:i w:val="0"/>
          <w:iCs w:val="0"/>
          <w:caps w:val="0"/>
          <w:color w:val="000000"/>
          <w:spacing w:val="0"/>
          <w:sz w:val="24"/>
          <w:szCs w:val="24"/>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pPr>
      <w:r>
        <w:rPr>
          <w:rStyle w:val="7"/>
          <w:rFonts w:hint="default" w:ascii="Helvetica" w:hAnsi="Helvetica" w:eastAsia="Helvetica" w:cs="Helvetica"/>
          <w:i w:val="0"/>
          <w:iCs w:val="0"/>
          <w:caps w:val="0"/>
          <w:color w:val="000000"/>
          <w:spacing w:val="0"/>
          <w:sz w:val="24"/>
          <w:szCs w:val="24"/>
        </w:rPr>
        <w:t>阳庙镇2021年政府信息公开工作年度报告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Helvetica" w:hAnsi="Helvetica" w:eastAsia="Helvetica" w:cs="Helvetica"/>
          <w:i w:val="0"/>
          <w:iCs w:val="0"/>
          <w:caps w:val="0"/>
          <w:color w:val="000000"/>
          <w:spacing w:val="0"/>
          <w:sz w:val="24"/>
          <w:szCs w:val="24"/>
        </w:rPr>
        <w:t>       2021年，阳庙镇政府高度重视政府信息公开工作，本着“规范、明了、方便、实用”的原则，根据我镇的实际，突出重点，创新形式，围绕中心工作、贴近民生、强化措施，依法、及时、准确地公开了相关政府信息，提高了政府信息公开工作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Helvetica" w:hAnsi="Helvetica" w:eastAsia="Helvetica" w:cs="Helvetica"/>
          <w:i w:val="0"/>
          <w:iCs w:val="0"/>
          <w:caps w:val="0"/>
          <w:color w:val="000000"/>
          <w:spacing w:val="0"/>
          <w:sz w:val="24"/>
          <w:szCs w:val="24"/>
        </w:rPr>
        <w:t>     一是不断加强公开组织体系和公开渠道建设，深化公开内容，不断创新政府信息公开载体形式，通过网站、报刊、公开栏、电子显示屏等形式，及时公开需要社会公众广泛知晓的相关信息，有力的推进了政府办公透明化、公开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Helvetica" w:hAnsi="Helvetica" w:eastAsia="Helvetica" w:cs="Helvetica"/>
          <w:i w:val="0"/>
          <w:iCs w:val="0"/>
          <w:caps w:val="0"/>
          <w:color w:val="000000"/>
          <w:spacing w:val="0"/>
          <w:sz w:val="24"/>
          <w:szCs w:val="24"/>
        </w:rPr>
        <w:t>      二是依据上级政府信息公开工作相关文件要求，对政务信息认真梳理，及时主动公开全年财政预算等政府信息情况，保障了公众知情权和监督权，全力服务镇域经济社会事业发展。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Helvetica" w:hAnsi="Helvetica" w:eastAsia="Helvetica" w:cs="Helvetica"/>
          <w:i w:val="0"/>
          <w:iCs w:val="0"/>
          <w:caps w:val="0"/>
          <w:color w:val="000000"/>
          <w:spacing w:val="0"/>
          <w:sz w:val="24"/>
          <w:szCs w:val="24"/>
        </w:rPr>
        <w:t>      三是通过对政府信息公开工作的业务培训，乡、村工作人员对信息公开工作的思想认识逐步提高，从而保障政府信息公开工作的扎实有效开展。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rPr>
        <w:t>二、主动公开政府信息情况</w:t>
      </w:r>
    </w:p>
    <w:tbl>
      <w:tblPr>
        <w:tblStyle w:val="5"/>
        <w:tblW w:w="8400"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76"/>
        <w:gridCol w:w="2074"/>
        <w:gridCol w:w="2076"/>
        <w:gridCol w:w="2074"/>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第二十条第（一）项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1"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信息内容</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本年制发件数</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本年废止件数</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现行有效件数</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规章</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1"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行政规范性文件</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1"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第二十条第（五）项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信息内容</w:t>
            </w:r>
          </w:p>
        </w:tc>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本年处理决定数量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行政许可</w:t>
            </w:r>
          </w:p>
        </w:tc>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第二十条第（六）项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信息内容</w:t>
            </w:r>
          </w:p>
        </w:tc>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本年处理决定数量</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行政处罚</w:t>
            </w:r>
          </w:p>
        </w:tc>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行政强制</w:t>
            </w:r>
          </w:p>
        </w:tc>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0" w:type="auto"/>
            <w:gridSpan w:val="4"/>
            <w:tcBorders>
              <w:top w:val="nil"/>
              <w:left w:val="nil"/>
              <w:bottom w:val="single" w:color="000000" w:sz="6" w:space="0"/>
              <w:right w:val="single" w:color="000000" w:sz="6" w:space="0"/>
            </w:tcBorders>
            <w:shd w:val="clear" w:color="auto" w:fill="C9D9EF"/>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第二十条第（八）项</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信息内容</w:t>
            </w:r>
          </w:p>
        </w:tc>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本年收费金额（单位：万元，保留4位小数）</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行政事业性收费</w:t>
            </w:r>
          </w:p>
        </w:tc>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rPr>
        <w:t>三、收到和处理政府信息公开申请情况</w:t>
      </w:r>
    </w:p>
    <w:tbl>
      <w:tblPr>
        <w:tblStyle w:val="5"/>
        <w:tblW w:w="8459"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58"/>
        <w:gridCol w:w="949"/>
        <w:gridCol w:w="2999"/>
        <w:gridCol w:w="506"/>
        <w:gridCol w:w="506"/>
        <w:gridCol w:w="506"/>
        <w:gridCol w:w="506"/>
        <w:gridCol w:w="506"/>
        <w:gridCol w:w="514"/>
        <w:gridCol w:w="509"/>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469" w:hRule="atLeast"/>
        </w:trPr>
        <w:tc>
          <w:tcPr>
            <w:tcW w:w="0" w:type="auto"/>
            <w:gridSpan w:val="3"/>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（本列数据的勾稽关系为：第一项加第二项之和，等于第三项加第四项之和）</w:t>
            </w:r>
          </w:p>
        </w:tc>
        <w:tc>
          <w:tcPr>
            <w:tcW w:w="0" w:type="auto"/>
            <w:gridSpan w:val="7"/>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申请人情况</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2" w:hRule="atLeast"/>
        </w:trPr>
        <w:tc>
          <w:tcPr>
            <w:tcW w:w="0" w:type="auto"/>
            <w:gridSpan w:val="3"/>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自然人</w:t>
            </w:r>
          </w:p>
        </w:tc>
        <w:tc>
          <w:tcPr>
            <w:tcW w:w="0" w:type="auto"/>
            <w:gridSpan w:val="5"/>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法人或其他组织</w:t>
            </w: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总计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5" w:hRule="atLeast"/>
        </w:trPr>
        <w:tc>
          <w:tcPr>
            <w:tcW w:w="0" w:type="auto"/>
            <w:gridSpan w:val="3"/>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商业企业</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科研机构</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社会公益组织</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法律服务机构</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其他</w:t>
            </w: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一、本年新收政府信息公开申请数量</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二、上年结转政府信息公开申请数量</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三、本年度办理结果</w:t>
            </w:r>
          </w:p>
        </w:tc>
        <w:tc>
          <w:tcPr>
            <w:tcW w:w="0" w:type="auto"/>
            <w:gridSpan w:val="2"/>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（一）予以公开</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689"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gridSpan w:val="2"/>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（二）部分公开（区分处理的，只计这一情形，不计其他情形）</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（三）不予公开</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1.属于国家秘密</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685"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2.其他法律行政法规禁止公开</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3.危及“三安全一稳定”</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4.保护第三方合法权益</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5.属于三类内部事务信息</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6.属于四类过程性信息</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7.属于行政执法案卷</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8.属于行政查询事项</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685"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（四）无法提供</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1.本机关不掌握相关政府信息</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685"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2.没有现成信息需要另行制作</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685"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3.补正后申请内容仍不明确</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（五）不予处理</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1.信访举报投诉类申请</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2.重复申请</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3.要求提供公开出版物</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685"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4.无正当理由大量反复申请</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689"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5.要求行政机关确认或重新出具已获取信息</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1020"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（六）其他处理</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1.申请人无正当理由逾期不补正、行政机关不再处理其政府信息公开申请</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1355"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2.申请人逾期未按收费通知要求缴纳费用、行政机关不再处理其政府信息公开申请</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3.其他</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gridSpan w:val="2"/>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（七）总计</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PrEx>
        <w:trPr>
          <w:trHeight w:val="556" w:hRule="atLeast"/>
        </w:trPr>
        <w:tc>
          <w:tcPr>
            <w:tcW w:w="0" w:type="auto"/>
            <w:gridSpan w:val="3"/>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四、结转下年度继续办理</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6"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14"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509" w:type="dxa"/>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rPr>
        <w:t>四、政府信息公开行政复议、行政诉讼情况</w:t>
      </w:r>
    </w:p>
    <w:tbl>
      <w:tblPr>
        <w:tblStyle w:val="5"/>
        <w:tblW w:w="8399"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3"/>
        <w:gridCol w:w="611"/>
        <w:gridCol w:w="612"/>
        <w:gridCol w:w="612"/>
        <w:gridCol w:w="355"/>
        <w:gridCol w:w="612"/>
        <w:gridCol w:w="612"/>
        <w:gridCol w:w="612"/>
        <w:gridCol w:w="612"/>
        <w:gridCol w:w="355"/>
        <w:gridCol w:w="612"/>
        <w:gridCol w:w="612"/>
        <w:gridCol w:w="612"/>
        <w:gridCol w:w="612"/>
        <w:gridCol w:w="355"/>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shd w:val="clear" w:color="auto" w:fill="auto"/>
        </w:tblPrEx>
        <w:trPr>
          <w:trHeight w:val="501" w:hRule="atLeast"/>
        </w:trPr>
        <w:tc>
          <w:tcPr>
            <w:tcW w:w="0" w:type="auto"/>
            <w:gridSpan w:val="5"/>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行政复议</w:t>
            </w:r>
          </w:p>
        </w:tc>
        <w:tc>
          <w:tcPr>
            <w:tcW w:w="0" w:type="auto"/>
            <w:gridSpan w:val="10"/>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行政诉讼</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结果维持</w:t>
            </w: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结果纠正</w:t>
            </w: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其他结果</w:t>
            </w: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尚未审结</w:t>
            </w:r>
          </w:p>
        </w:tc>
        <w:tc>
          <w:tcPr>
            <w:tcW w:w="0" w:type="auto"/>
            <w:vMerge w:val="restart"/>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总计</w:t>
            </w:r>
          </w:p>
        </w:tc>
        <w:tc>
          <w:tcPr>
            <w:tcW w:w="0" w:type="auto"/>
            <w:gridSpan w:val="5"/>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未经复议直接起诉</w:t>
            </w:r>
          </w:p>
        </w:tc>
        <w:tc>
          <w:tcPr>
            <w:tcW w:w="0" w:type="auto"/>
            <w:gridSpan w:val="5"/>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复议后起诉</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PrEx>
        <w:trPr>
          <w:trHeight w:val="711" w:hRule="atLeast"/>
        </w:trPr>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vMerge w:val="continue"/>
            <w:tcBorders>
              <w:top w:val="nil"/>
              <w:left w:val="nil"/>
              <w:bottom w:val="single" w:color="000000" w:sz="6" w:space="0"/>
              <w:right w:val="single" w:color="000000" w:sz="6" w:space="0"/>
            </w:tcBorders>
            <w:shd w:val="clear" w:color="auto" w:fill="auto"/>
            <w:vAlign w:val="center"/>
          </w:tcPr>
          <w:p>
            <w:pPr>
              <w:jc w:val="center"/>
              <w:rPr>
                <w:rFonts w:hint="default" w:ascii="Helvetica" w:hAnsi="Helvetica" w:eastAsia="Helvetica" w:cs="Helvetica"/>
                <w:b w:val="0"/>
                <w:bCs w:val="0"/>
                <w:i w:val="0"/>
                <w:iCs w:val="0"/>
                <w:caps w:val="0"/>
                <w:color w:val="000000"/>
                <w:spacing w:val="0"/>
                <w:sz w:val="21"/>
                <w:szCs w:val="21"/>
              </w:rPr>
            </w:pP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结果维持</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结果纠正</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其他结果</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尚未审结</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总计</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结果维持</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结果纠正</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其他结果</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尚未审结</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总计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c>
          <w:tcPr>
            <w:tcW w:w="0" w:type="auto"/>
            <w:tcBorders>
              <w:top w:val="nil"/>
              <w:left w:val="nil"/>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27" w:lineRule="atLeast"/>
              <w:ind w:left="0" w:right="0" w:firstLine="0"/>
              <w:jc w:val="center"/>
              <w:rPr>
                <w:rFonts w:hint="default" w:ascii="Helvetica" w:hAnsi="Helvetica" w:eastAsia="Helvetica" w:cs="Helvetica"/>
                <w:b w:val="0"/>
                <w:bCs w:val="0"/>
                <w:i w:val="0"/>
                <w:iCs w:val="0"/>
                <w:caps w:val="0"/>
                <w:color w:val="000000"/>
                <w:spacing w:val="0"/>
                <w:sz w:val="21"/>
                <w:szCs w:val="21"/>
              </w:rPr>
            </w:pPr>
            <w:r>
              <w:rPr>
                <w:rFonts w:hint="default" w:ascii="Helvetica" w:hAnsi="Helvetica" w:eastAsia="Helvetica" w:cs="Helvetica"/>
                <w:b w:val="0"/>
                <w:bCs w:val="0"/>
                <w:i w:val="0"/>
                <w:iCs w:val="0"/>
                <w:caps w:val="0"/>
                <w:color w:val="000000"/>
                <w:spacing w:val="0"/>
                <w:kern w:val="0"/>
                <w:sz w:val="21"/>
                <w:szCs w:val="21"/>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Helvetica" w:hAnsi="Helvetica" w:eastAsia="Helvetica" w:cs="Helvetica"/>
          <w:i w:val="0"/>
          <w:iCs w:val="0"/>
          <w:caps w:val="0"/>
          <w:color w:val="000000"/>
          <w:spacing w:val="0"/>
          <w:sz w:val="24"/>
          <w:szCs w:val="24"/>
        </w:rPr>
        <w:t>        2021年，我镇政府信息公开工作在上级有关部门的正确领导下取得了一些成效，但也清醒地认识到，在政府信息公开工作中我镇仍然存在一些问题：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Helvetica" w:hAnsi="Helvetica" w:eastAsia="Helvetica" w:cs="Helvetica"/>
          <w:i w:val="0"/>
          <w:iCs w:val="0"/>
          <w:caps w:val="0"/>
          <w:color w:val="000000"/>
          <w:spacing w:val="0"/>
          <w:sz w:val="24"/>
          <w:szCs w:val="24"/>
        </w:rPr>
        <w:t>  一是对《条例》和省、市政府信息公开工作规定的学习、掌握还不够好，政府信息公开的尺度难以把握；二是政府信息公开有时不够及时。2022年，我镇将按照《政府信息公开条例》和省、市对政府信息公开的相关要求，继续大力推进政府信息公开工作，主要是做好以下几方面工作：一是充分认识政府信息公开的重大意义，切实转变思想观念，增强工作的主动性、自觉性，以政府信息公开为依托，满足群众信息公开需求， 着力做到以公开促公正、以公开立公信，维护法治政府、透明政府的良好形象。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Helvetica" w:hAnsi="Helvetica" w:eastAsia="Helvetica" w:cs="Helvetica"/>
          <w:i w:val="0"/>
          <w:iCs w:val="0"/>
          <w:caps w:val="0"/>
          <w:color w:val="000000"/>
          <w:spacing w:val="0"/>
          <w:sz w:val="24"/>
          <w:szCs w:val="24"/>
        </w:rPr>
        <w:t>二是不断强化对工作人员尤其是信息员的理论培训和业务培训；提高对公众关注度高的信息的梳理能力，逐步提高公开质量。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Helvetica" w:hAnsi="Helvetica" w:eastAsia="Helvetica" w:cs="Helvetica"/>
          <w:i w:val="0"/>
          <w:iCs w:val="0"/>
          <w:caps w:val="0"/>
          <w:color w:val="000000"/>
          <w:spacing w:val="0"/>
          <w:sz w:val="24"/>
          <w:szCs w:val="24"/>
        </w:rPr>
        <w:t>三是进一步建立健全政府信息公开各项规章制度，形成以制度管人、以制度谋事的长效机制，确保政务信息公开的及时性、准确性和有效性。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Helvetica" w:hAnsi="Helvetica" w:eastAsia="Helvetica" w:cs="Helvetica"/>
          <w:i w:val="0"/>
          <w:iCs w:val="0"/>
          <w:caps w:val="0"/>
          <w:color w:val="000000"/>
          <w:spacing w:val="0"/>
          <w:sz w:val="24"/>
          <w:szCs w:val="24"/>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0798E"/>
    <w:rsid w:val="78924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2022-01-25T01:58:00Z</dcterms:created>
  <dc:creator>Administrator</dc:creator>
  <cp:lastModifiedBy>dell</cp:lastModifiedBy>
  <dcterms:modified xsi:type="dcterms:W3CDTF">2022-01-25T02:07:37Z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57C8763A6CDF431FB17406A3FBEE9048</vt:lpwstr>
  </property>
</Properties>
</file>