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rPr>
          <w:rFonts w:hint="eastAsia"/>
        </w:rPr>
        <w:t>关于焦作</w:t>
      </w:r>
      <w:bookmarkStart w:id="1" w:name="_GoBack"/>
      <w:bookmarkEnd w:id="1"/>
      <w:r>
        <w:rPr>
          <w:rFonts w:hint="eastAsia"/>
        </w:rPr>
        <w:t>高新技术产业开发区</w:t>
      </w:r>
    </w:p>
    <w:p>
      <w:pPr>
        <w:pStyle w:val="10"/>
      </w:pPr>
      <w:r>
        <w:rPr>
          <w:rFonts w:hint="eastAsia"/>
        </w:rPr>
        <w:t>2</w:t>
      </w:r>
      <w:r>
        <w:t>020-2022年</w:t>
      </w:r>
      <w:r>
        <w:rPr>
          <w:rFonts w:hint="eastAsia"/>
        </w:rPr>
        <w:t>土壤污染风险管控与修复成效评估结果的公示</w:t>
      </w:r>
    </w:p>
    <w:p>
      <w:pPr>
        <w:ind w:firstLine="600"/>
      </w:pPr>
    </w:p>
    <w:p>
      <w:pPr>
        <w:ind w:firstLine="600"/>
      </w:pPr>
      <w:r>
        <w:rPr>
          <w:rFonts w:hint="eastAsia"/>
        </w:rPr>
        <w:t>近年来，焦作高新技术产业开发区认真贯彻落实《土壤污染防治行动计划》、《中华人民共和国土壤污染防治法》及省市土壤污染防治管理政策等文件精神，狠抓“两个安全利用”落地见效，积极改善区域土壤环境质量，土壤污染防治工作取得阶段性成效。</w:t>
      </w:r>
    </w:p>
    <w:p>
      <w:pPr>
        <w:ind w:firstLine="600"/>
      </w:pPr>
      <w:r>
        <w:rPr>
          <w:rFonts w:hint="eastAsia"/>
        </w:rPr>
        <w:t>按照《土壤污染防治行动计划》第七条第二十四款的要求，焦作市生态环境局委托河南省地质矿产勘查开发局第一地质环境调查院对</w:t>
      </w:r>
      <w:r>
        <w:rPr>
          <w:rFonts w:hint="eastAsia"/>
          <w:lang w:eastAsia="zh-CN"/>
        </w:rPr>
        <w:t>焦作</w:t>
      </w:r>
      <w:r>
        <w:rPr>
          <w:rFonts w:hint="eastAsia"/>
        </w:rPr>
        <w:t>高新技术产业开发区2</w:t>
      </w:r>
      <w:r>
        <w:t>020-2022</w:t>
      </w:r>
      <w:r>
        <w:rPr>
          <w:rFonts w:hint="eastAsia"/>
        </w:rPr>
        <w:t>年土壤污染风险管控与修复成效进行了技术评估，现将评估结果予以公示。</w:t>
      </w:r>
    </w:p>
    <w:p>
      <w:pPr>
        <w:ind w:firstLine="600"/>
      </w:pPr>
    </w:p>
    <w:p>
      <w:pPr>
        <w:ind w:firstLine="600"/>
      </w:pPr>
    </w:p>
    <w:p>
      <w:pPr>
        <w:ind w:firstLine="600"/>
      </w:pPr>
    </w:p>
    <w:p>
      <w:pPr>
        <w:ind w:firstLine="600"/>
      </w:pPr>
    </w:p>
    <w:p>
      <w:pPr>
        <w:ind w:firstLine="600"/>
      </w:pPr>
      <w:r>
        <w:rPr>
          <w:rFonts w:hint="eastAsia"/>
        </w:rPr>
        <w:t>附件：</w:t>
      </w:r>
      <w:r>
        <w:rPr>
          <w:rFonts w:hint="eastAsia"/>
          <w:lang w:eastAsia="zh-CN"/>
        </w:rPr>
        <w:t>焦作</w:t>
      </w:r>
      <w:r>
        <w:rPr>
          <w:rFonts w:hint="eastAsia"/>
        </w:rPr>
        <w:t>高新技术产业开发区2020-2022年土壤污染风险管控与修复成效评估报告</w:t>
      </w:r>
    </w:p>
    <w:p>
      <w:pPr>
        <w:ind w:firstLine="600"/>
      </w:pPr>
    </w:p>
    <w:p>
      <w:pPr>
        <w:ind w:firstLine="600"/>
        <w:jc w:val="right"/>
      </w:pPr>
      <w:r>
        <w:rPr>
          <w:rFonts w:hint="eastAsia"/>
        </w:rPr>
        <w:t>2023年11月2</w:t>
      </w:r>
      <w:r>
        <w:t>8</w:t>
      </w:r>
      <w:r>
        <w:rPr>
          <w:rFonts w:hint="eastAsia"/>
        </w:rPr>
        <w:t>日</w:t>
      </w:r>
    </w:p>
    <w:p>
      <w:pPr>
        <w:ind w:firstLine="60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850" w:gutter="0"/>
          <w:pgNumType w:fmt="numberInDash"/>
          <w:cols w:space="425" w:num="1"/>
          <w:docGrid w:type="lines" w:linePitch="408" w:charSpace="0"/>
        </w:sectPr>
      </w:pPr>
    </w:p>
    <w:p>
      <w:pPr>
        <w:pStyle w:val="10"/>
      </w:pPr>
      <w:r>
        <w:t>焦作</w:t>
      </w:r>
      <w:r>
        <w:rPr>
          <w:rFonts w:hint="eastAsia"/>
        </w:rPr>
        <w:t>高新技术产业开发区</w:t>
      </w:r>
    </w:p>
    <w:p>
      <w:pPr>
        <w:pStyle w:val="10"/>
      </w:pPr>
      <w:r>
        <w:t>2020-2022年土壤污染风险管控与修复成效评估报告</w:t>
      </w:r>
    </w:p>
    <w:p>
      <w:pPr>
        <w:ind w:firstLine="600"/>
      </w:pPr>
    </w:p>
    <w:p>
      <w:pPr>
        <w:ind w:firstLine="600"/>
      </w:pPr>
      <w:r>
        <w:rPr>
          <w:rFonts w:hint="eastAsia"/>
        </w:rPr>
        <w:t>根据《关于开展</w:t>
      </w:r>
      <w:r>
        <w:t>2020-2022年焦作市土壤污染风险管控与修复成效评估工作的通知</w:t>
      </w:r>
      <w:r>
        <w:rPr>
          <w:rFonts w:hint="eastAsia"/>
        </w:rPr>
        <w:t>》、</w:t>
      </w:r>
      <w:r>
        <w:t>《河南省土壤污染风险管控与修复成效评估技术指南（试行）》</w:t>
      </w:r>
      <w:r>
        <w:rPr>
          <w:rFonts w:hint="eastAsia"/>
        </w:rPr>
        <w:t>等政策文件要求</w:t>
      </w:r>
      <w:r>
        <w:t>，受焦作市生态环境局委托，河南省地质矿产勘查开发局第一地质环境调查院对</w:t>
      </w:r>
      <w:r>
        <w:rPr>
          <w:rFonts w:hint="eastAsia"/>
          <w:lang w:eastAsia="zh-CN"/>
        </w:rPr>
        <w:t>焦作</w:t>
      </w:r>
      <w:r>
        <w:rPr>
          <w:rFonts w:hint="eastAsia"/>
        </w:rPr>
        <w:t>高新技术产业开发区</w:t>
      </w:r>
      <w:r>
        <w:t>2020-2022年土壤污染风险管控与修复成效进行了技术评估。现将评估报告主要结果公示如下：</w:t>
      </w:r>
    </w:p>
    <w:p>
      <w:pPr>
        <w:pStyle w:val="2"/>
        <w:ind w:firstLine="641"/>
      </w:pPr>
      <w:r>
        <w:t>一、评估内容完成概况</w:t>
      </w:r>
    </w:p>
    <w:p>
      <w:pPr>
        <w:ind w:firstLine="602"/>
        <w:rPr>
          <w:b/>
          <w:bCs/>
        </w:rPr>
      </w:pPr>
      <w:r>
        <w:rPr>
          <w:rFonts w:hint="eastAsia"/>
          <w:b/>
          <w:bCs/>
        </w:rPr>
        <w:t>1、污染防治制度建设情况。</w:t>
      </w:r>
    </w:p>
    <w:p>
      <w:pPr>
        <w:ind w:firstLine="600"/>
      </w:pPr>
      <w:r>
        <w:t>评估期内，</w:t>
      </w:r>
      <w:r>
        <w:rPr>
          <w:rFonts w:hint="eastAsia"/>
          <w:lang w:eastAsia="zh-CN"/>
        </w:rPr>
        <w:t>焦作</w:t>
      </w:r>
      <w:r>
        <w:rPr>
          <w:rFonts w:hint="eastAsia"/>
        </w:rPr>
        <w:t>高新技术产业开发区</w:t>
      </w:r>
      <w:r>
        <w:t>制定了土壤污染防治方案及相关政策文件，细化任务分工，强化部门协作，各部门落实各项任务要求，有序推进土壤污染防治工作。</w:t>
      </w:r>
    </w:p>
    <w:p>
      <w:pPr>
        <w:ind w:firstLine="602"/>
        <w:rPr>
          <w:b/>
          <w:bCs/>
        </w:rPr>
      </w:pPr>
      <w:r>
        <w:rPr>
          <w:b/>
          <w:bCs/>
        </w:rPr>
        <w:t>2、</w:t>
      </w:r>
      <w:r>
        <w:rPr>
          <w:rFonts w:hint="eastAsia"/>
          <w:b/>
          <w:bCs/>
        </w:rPr>
        <w:t>主要目标完成情况。</w:t>
      </w:r>
    </w:p>
    <w:p>
      <w:pPr>
        <w:ind w:firstLine="600"/>
      </w:pPr>
      <w:r>
        <w:rPr>
          <w:rFonts w:hint="eastAsia"/>
          <w:lang w:eastAsia="zh-CN"/>
        </w:rPr>
        <w:t>焦作</w:t>
      </w:r>
      <w:r>
        <w:rPr>
          <w:rFonts w:hint="eastAsia"/>
        </w:rPr>
        <w:t>高新技术产业开发区无污染地块违规开发情形，完成下达的重点建设用地安全利用任务。</w:t>
      </w:r>
    </w:p>
    <w:p>
      <w:pPr>
        <w:ind w:firstLine="602"/>
        <w:rPr>
          <w:b/>
          <w:bCs/>
        </w:rPr>
      </w:pPr>
      <w:r>
        <w:rPr>
          <w:b/>
          <w:bCs/>
        </w:rPr>
        <w:t>3、</w:t>
      </w:r>
      <w:r>
        <w:rPr>
          <w:rFonts w:hint="eastAsia"/>
          <w:b/>
          <w:bCs/>
        </w:rPr>
        <w:t>建设用地土壤环境管理情况。</w:t>
      </w:r>
    </w:p>
    <w:p>
      <w:pPr>
        <w:ind w:firstLine="600"/>
      </w:pPr>
      <w:r>
        <w:rPr>
          <w:rFonts w:hint="eastAsia"/>
          <w:lang w:eastAsia="zh-CN"/>
        </w:rPr>
        <w:t>焦作</w:t>
      </w:r>
      <w:r>
        <w:rPr>
          <w:rFonts w:hint="eastAsia"/>
        </w:rPr>
        <w:t>高新技术产业开发区落实了重点建设用地安全利用任务；</w:t>
      </w:r>
      <w:bookmarkStart w:id="0" w:name="_Hlk151987217"/>
      <w:r>
        <w:rPr>
          <w:rFonts w:hint="eastAsia"/>
        </w:rPr>
        <w:t>对确定为污染地块的建设用地逐步推进土壤污染风险评估、风险管控与修复治理工作；全面监管土壤污染重点监管单位有毒有害物质排放、自行监测和土壤污染隐患排查整治工作；在焦作市生态环境局主导下，统一开展了各年度土壤污染重点监管单位和化工园区周边土壤环境监测工作；生态环境部门与自然资源和规划部门建立了建设用地地块再开发利用以及土地供地等协同协调管理机制。</w:t>
      </w:r>
      <w:bookmarkEnd w:id="0"/>
    </w:p>
    <w:p>
      <w:pPr>
        <w:ind w:firstLine="602"/>
        <w:rPr>
          <w:b/>
          <w:bCs/>
        </w:rPr>
      </w:pPr>
      <w:r>
        <w:rPr>
          <w:b/>
          <w:bCs/>
        </w:rPr>
        <w:t>4、</w:t>
      </w:r>
      <w:r>
        <w:rPr>
          <w:rFonts w:hint="eastAsia"/>
          <w:b/>
          <w:bCs/>
        </w:rPr>
        <w:t>农用地土壤环境管理情况。</w:t>
      </w:r>
    </w:p>
    <w:p>
      <w:pPr>
        <w:ind w:firstLine="600"/>
      </w:pPr>
      <w:r>
        <w:rPr>
          <w:rFonts w:hint="eastAsia"/>
          <w:lang w:eastAsia="zh-CN"/>
        </w:rPr>
        <w:t>焦作</w:t>
      </w:r>
      <w:r>
        <w:rPr>
          <w:rFonts w:hint="eastAsia"/>
        </w:rPr>
        <w:t>高新技术产业开发区根据《高新技术产业开发区耕地土壤环境质量类别划分技术报告》，制定了优先保护类耕地保护措施、优先保护类耕地得到有效保护。</w:t>
      </w:r>
    </w:p>
    <w:p>
      <w:pPr>
        <w:pStyle w:val="2"/>
        <w:ind w:firstLine="641"/>
      </w:pPr>
      <w:r>
        <w:t>二、评估结果</w:t>
      </w:r>
    </w:p>
    <w:p>
      <w:pPr>
        <w:ind w:firstLine="600"/>
      </w:pPr>
      <w:r>
        <w:t>按照《河南省土壤污染风险管控与修复成效评估技术指南（试行）》，</w:t>
      </w:r>
      <w:r>
        <w:rPr>
          <w:rFonts w:hint="eastAsia"/>
          <w:lang w:eastAsia="zh-CN"/>
        </w:rPr>
        <w:t>焦作</w:t>
      </w:r>
      <w:r>
        <w:rPr>
          <w:rFonts w:hint="eastAsia"/>
        </w:rPr>
        <w:t>高新技术产业开发区</w:t>
      </w:r>
      <w:r>
        <w:t>2020-2022年土壤污染风险管控与修复成效评估结果为优秀等级。</w:t>
      </w:r>
    </w:p>
    <w:p>
      <w:pPr>
        <w:ind w:firstLine="600"/>
      </w:pPr>
    </w:p>
    <w:p>
      <w:pPr>
        <w:ind w:firstLine="600"/>
        <w:jc w:val="right"/>
      </w:pPr>
      <w:r>
        <w:t>2023年11月28日</w:t>
      </w:r>
    </w:p>
    <w:sectPr>
      <w:footerReference r:id="rId11" w:type="default"/>
      <w:pgSz w:w="11906" w:h="16838"/>
      <w:pgMar w:top="1440" w:right="1800" w:bottom="1440" w:left="1800" w:header="851" w:footer="850" w:gutter="0"/>
      <w:pgNumType w:fmt="numberInDash" w:start="1"/>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URW Bookman">
    <w:panose1 w:val="00000400000000000000"/>
    <w:charset w:val="00"/>
    <w:family w:val="auto"/>
    <w:pitch w:val="default"/>
    <w:sig w:usb0="00000287" w:usb1="00000800" w:usb2="00000000" w:usb3="00000000" w:csb0="6000009F"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uto"/>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9960672"/>
      <w:docPartObj>
        <w:docPartGallery w:val="AutoText"/>
      </w:docPartObj>
    </w:sdtPr>
    <w:sdtContent>
      <w:p>
        <w:pPr>
          <w:pStyle w:val="6"/>
          <w:spacing w:line="240" w:lineRule="auto"/>
          <w:ind w:firstLine="0" w:firstLineChars="0"/>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5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3BD"/>
    <w:rsid w:val="000055BF"/>
    <w:rsid w:val="000166E6"/>
    <w:rsid w:val="0002170D"/>
    <w:rsid w:val="00024750"/>
    <w:rsid w:val="0004239A"/>
    <w:rsid w:val="0006266F"/>
    <w:rsid w:val="0006366B"/>
    <w:rsid w:val="00096616"/>
    <w:rsid w:val="000A269E"/>
    <w:rsid w:val="0010345C"/>
    <w:rsid w:val="0019566A"/>
    <w:rsid w:val="001A659E"/>
    <w:rsid w:val="001C1AF4"/>
    <w:rsid w:val="001C260B"/>
    <w:rsid w:val="001E57EC"/>
    <w:rsid w:val="00230505"/>
    <w:rsid w:val="00231E1A"/>
    <w:rsid w:val="00253DC1"/>
    <w:rsid w:val="0026258B"/>
    <w:rsid w:val="002660D8"/>
    <w:rsid w:val="0028003C"/>
    <w:rsid w:val="002A5D86"/>
    <w:rsid w:val="00351234"/>
    <w:rsid w:val="00353ACD"/>
    <w:rsid w:val="00357581"/>
    <w:rsid w:val="003642CB"/>
    <w:rsid w:val="00375F38"/>
    <w:rsid w:val="00387E07"/>
    <w:rsid w:val="00392429"/>
    <w:rsid w:val="003C6DD4"/>
    <w:rsid w:val="003D31F3"/>
    <w:rsid w:val="003F1FD7"/>
    <w:rsid w:val="003F3EB5"/>
    <w:rsid w:val="003F5148"/>
    <w:rsid w:val="00430D79"/>
    <w:rsid w:val="00433D89"/>
    <w:rsid w:val="00447E0E"/>
    <w:rsid w:val="00450FF6"/>
    <w:rsid w:val="00451C1E"/>
    <w:rsid w:val="0048693C"/>
    <w:rsid w:val="0049498F"/>
    <w:rsid w:val="004E070E"/>
    <w:rsid w:val="004E6904"/>
    <w:rsid w:val="004F70DA"/>
    <w:rsid w:val="0058655B"/>
    <w:rsid w:val="0061396D"/>
    <w:rsid w:val="0064032A"/>
    <w:rsid w:val="00664B10"/>
    <w:rsid w:val="00685F30"/>
    <w:rsid w:val="006C1CB5"/>
    <w:rsid w:val="006D0632"/>
    <w:rsid w:val="006F5DD3"/>
    <w:rsid w:val="007012FD"/>
    <w:rsid w:val="00713093"/>
    <w:rsid w:val="00754DA4"/>
    <w:rsid w:val="00755DB8"/>
    <w:rsid w:val="0077363A"/>
    <w:rsid w:val="00786DDC"/>
    <w:rsid w:val="007C4375"/>
    <w:rsid w:val="007C7CC5"/>
    <w:rsid w:val="007D246D"/>
    <w:rsid w:val="007D2627"/>
    <w:rsid w:val="0081120F"/>
    <w:rsid w:val="0081133D"/>
    <w:rsid w:val="0082444B"/>
    <w:rsid w:val="00895162"/>
    <w:rsid w:val="008A266F"/>
    <w:rsid w:val="008B73C2"/>
    <w:rsid w:val="008C0FDE"/>
    <w:rsid w:val="008C4FA5"/>
    <w:rsid w:val="008D5165"/>
    <w:rsid w:val="0091503C"/>
    <w:rsid w:val="009163BD"/>
    <w:rsid w:val="0092364F"/>
    <w:rsid w:val="00930A19"/>
    <w:rsid w:val="00973866"/>
    <w:rsid w:val="009A0DC3"/>
    <w:rsid w:val="009A1581"/>
    <w:rsid w:val="009B2621"/>
    <w:rsid w:val="009F7377"/>
    <w:rsid w:val="00AD2022"/>
    <w:rsid w:val="00B5412B"/>
    <w:rsid w:val="00BD6CE8"/>
    <w:rsid w:val="00BD721F"/>
    <w:rsid w:val="00BF26D5"/>
    <w:rsid w:val="00C2331E"/>
    <w:rsid w:val="00C31B41"/>
    <w:rsid w:val="00C94D87"/>
    <w:rsid w:val="00CA3EC3"/>
    <w:rsid w:val="00CC0D06"/>
    <w:rsid w:val="00D62DF4"/>
    <w:rsid w:val="00D80439"/>
    <w:rsid w:val="00D86BE1"/>
    <w:rsid w:val="00DF23C2"/>
    <w:rsid w:val="00E45483"/>
    <w:rsid w:val="00E94447"/>
    <w:rsid w:val="00F17F51"/>
    <w:rsid w:val="00FB146E"/>
    <w:rsid w:val="00FD3E4C"/>
    <w:rsid w:val="00FD5F54"/>
    <w:rsid w:val="6FEFD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inorBidi"/>
      <w:kern w:val="2"/>
      <w:sz w:val="30"/>
      <w:szCs w:val="22"/>
      <w:lang w:val="en-US" w:eastAsia="zh-CN" w:bidi="ar-SA"/>
    </w:rPr>
  </w:style>
  <w:style w:type="paragraph" w:styleId="2">
    <w:name w:val="heading 1"/>
    <w:basedOn w:val="1"/>
    <w:next w:val="1"/>
    <w:link w:val="15"/>
    <w:qFormat/>
    <w:uiPriority w:val="9"/>
    <w:pPr>
      <w:keepNext/>
      <w:keepLines/>
      <w:spacing w:before="100" w:after="100" w:line="500" w:lineRule="exact"/>
      <w:outlineLvl w:val="0"/>
    </w:pPr>
    <w:rPr>
      <w:rFonts w:eastAsia="华文中宋"/>
      <w:b/>
      <w:bCs/>
      <w:kern w:val="44"/>
      <w:sz w:val="32"/>
      <w:szCs w:val="44"/>
    </w:rPr>
  </w:style>
  <w:style w:type="paragraph" w:styleId="3">
    <w:name w:val="heading 2"/>
    <w:basedOn w:val="1"/>
    <w:next w:val="1"/>
    <w:link w:val="16"/>
    <w:unhideWhenUsed/>
    <w:qFormat/>
    <w:uiPriority w:val="9"/>
    <w:pPr>
      <w:keepNext/>
      <w:keepLines/>
      <w:spacing w:line="600" w:lineRule="exact"/>
      <w:outlineLvl w:val="1"/>
    </w:pPr>
    <w:rPr>
      <w:rFonts w:cstheme="majorBidi"/>
      <w:b/>
      <w:bCs/>
      <w:sz w:val="32"/>
      <w:szCs w:val="32"/>
    </w:rPr>
  </w:style>
  <w:style w:type="paragraph" w:styleId="4">
    <w:name w:val="heading 3"/>
    <w:basedOn w:val="1"/>
    <w:next w:val="1"/>
    <w:link w:val="17"/>
    <w:unhideWhenUsed/>
    <w:qFormat/>
    <w:uiPriority w:val="9"/>
    <w:pPr>
      <w:keepNext/>
      <w:keepLines/>
      <w:outlineLvl w:val="2"/>
    </w:pPr>
    <w:rPr>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26"/>
    <w:semiHidden/>
    <w:unhideWhenUsed/>
    <w:qFormat/>
    <w:uiPriority w:val="99"/>
    <w:pPr>
      <w:ind w:left="100" w:leftChars="2500"/>
    </w:pPr>
  </w:style>
  <w:style w:type="paragraph" w:styleId="6">
    <w:name w:val="footer"/>
    <w:basedOn w:val="1"/>
    <w:link w:val="19"/>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Subtitle"/>
    <w:basedOn w:val="1"/>
    <w:next w:val="1"/>
    <w:link w:val="21"/>
    <w:qFormat/>
    <w:uiPriority w:val="11"/>
    <w:pPr>
      <w:spacing w:line="600" w:lineRule="exact"/>
      <w:ind w:firstLine="0" w:firstLineChars="0"/>
      <w:jc w:val="center"/>
      <w:outlineLvl w:val="1"/>
    </w:pPr>
    <w:rPr>
      <w:rFonts w:eastAsia="华文中宋"/>
      <w:b/>
      <w:bCs/>
      <w:kern w:val="28"/>
      <w:sz w:val="32"/>
      <w:szCs w:val="32"/>
    </w:rPr>
  </w:style>
  <w:style w:type="paragraph" w:styleId="9">
    <w:name w:val="Normal (Web)"/>
    <w:basedOn w:val="1"/>
    <w:unhideWhenUsed/>
    <w:qFormat/>
    <w:uiPriority w:val="99"/>
    <w:pPr>
      <w:widowControl/>
      <w:adjustRightInd w:val="0"/>
      <w:snapToGrid w:val="0"/>
      <w:spacing w:before="100" w:beforeAutospacing="1" w:after="100" w:afterAutospacing="1" w:line="240" w:lineRule="auto"/>
      <w:ind w:firstLine="0" w:firstLineChars="0"/>
      <w:jc w:val="left"/>
    </w:pPr>
    <w:rPr>
      <w:rFonts w:ascii="宋体" w:hAnsi="宋体" w:eastAsia="宋体" w:cs="宋体"/>
      <w:kern w:val="0"/>
      <w:sz w:val="32"/>
      <w:szCs w:val="24"/>
    </w:rPr>
  </w:style>
  <w:style w:type="paragraph" w:styleId="10">
    <w:name w:val="Title"/>
    <w:basedOn w:val="1"/>
    <w:next w:val="1"/>
    <w:link w:val="14"/>
    <w:qFormat/>
    <w:uiPriority w:val="10"/>
    <w:pPr>
      <w:spacing w:before="100" w:after="100" w:line="500" w:lineRule="exact"/>
      <w:ind w:firstLine="0" w:firstLineChars="0"/>
      <w:jc w:val="center"/>
      <w:outlineLvl w:val="0"/>
    </w:pPr>
    <w:rPr>
      <w:rFonts w:eastAsia="华文中宋" w:cstheme="majorBidi"/>
      <w:b/>
      <w:bCs/>
      <w:sz w:val="36"/>
      <w:szCs w:val="32"/>
    </w:rPr>
  </w:style>
  <w:style w:type="table" w:styleId="12">
    <w:name w:val="Table Grid"/>
    <w:basedOn w:val="11"/>
    <w:qFormat/>
    <w:uiPriority w:val="39"/>
    <w:rPr>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字符"/>
    <w:basedOn w:val="13"/>
    <w:link w:val="10"/>
    <w:qFormat/>
    <w:uiPriority w:val="10"/>
    <w:rPr>
      <w:rFonts w:ascii="Times New Roman" w:hAnsi="Times New Roman" w:eastAsia="华文中宋" w:cstheme="majorBidi"/>
      <w:b/>
      <w:bCs/>
      <w:sz w:val="36"/>
      <w:szCs w:val="32"/>
    </w:rPr>
  </w:style>
  <w:style w:type="character" w:customStyle="1" w:styleId="15">
    <w:name w:val="标题 1 字符"/>
    <w:basedOn w:val="13"/>
    <w:link w:val="2"/>
    <w:qFormat/>
    <w:uiPriority w:val="9"/>
    <w:rPr>
      <w:rFonts w:ascii="Times New Roman" w:hAnsi="Times New Roman" w:eastAsia="华文中宋"/>
      <w:b/>
      <w:bCs/>
      <w:kern w:val="44"/>
      <w:sz w:val="32"/>
      <w:szCs w:val="44"/>
    </w:rPr>
  </w:style>
  <w:style w:type="character" w:customStyle="1" w:styleId="16">
    <w:name w:val="标题 2 字符"/>
    <w:basedOn w:val="13"/>
    <w:link w:val="3"/>
    <w:qFormat/>
    <w:uiPriority w:val="9"/>
    <w:rPr>
      <w:rFonts w:ascii="Times New Roman" w:hAnsi="Times New Roman" w:eastAsia="仿宋_GB2312" w:cstheme="majorBidi"/>
      <w:b/>
      <w:bCs/>
      <w:sz w:val="32"/>
      <w:szCs w:val="32"/>
    </w:rPr>
  </w:style>
  <w:style w:type="character" w:customStyle="1" w:styleId="17">
    <w:name w:val="标题 3 字符"/>
    <w:basedOn w:val="13"/>
    <w:link w:val="4"/>
    <w:qFormat/>
    <w:uiPriority w:val="9"/>
    <w:rPr>
      <w:rFonts w:ascii="Times New Roman" w:hAnsi="Times New Roman" w:eastAsia="仿宋_GB2312"/>
      <w:b/>
      <w:bCs/>
      <w:sz w:val="30"/>
      <w:szCs w:val="32"/>
    </w:rPr>
  </w:style>
  <w:style w:type="character" w:customStyle="1" w:styleId="18">
    <w:name w:val="页眉 字符"/>
    <w:basedOn w:val="13"/>
    <w:link w:val="7"/>
    <w:qFormat/>
    <w:uiPriority w:val="99"/>
    <w:rPr>
      <w:rFonts w:ascii="Times New Roman" w:hAnsi="Times New Roman" w:eastAsia="仿宋_GB2312"/>
      <w:sz w:val="18"/>
      <w:szCs w:val="18"/>
    </w:rPr>
  </w:style>
  <w:style w:type="character" w:customStyle="1" w:styleId="19">
    <w:name w:val="页脚 字符"/>
    <w:basedOn w:val="13"/>
    <w:link w:val="6"/>
    <w:qFormat/>
    <w:uiPriority w:val="99"/>
    <w:rPr>
      <w:rFonts w:ascii="Times New Roman" w:hAnsi="Times New Roman" w:eastAsia="仿宋_GB2312"/>
      <w:sz w:val="18"/>
      <w:szCs w:val="18"/>
    </w:rPr>
  </w:style>
  <w:style w:type="paragraph" w:styleId="20">
    <w:name w:val="No Spacing"/>
    <w:qFormat/>
    <w:uiPriority w:val="0"/>
    <w:pPr>
      <w:widowControl w:val="0"/>
      <w:jc w:val="center"/>
    </w:pPr>
    <w:rPr>
      <w:rFonts w:ascii="Times New Roman" w:hAnsi="Times New Roman" w:eastAsia="仿宋_GB2312" w:cstheme="minorBidi"/>
      <w:kern w:val="2"/>
      <w:sz w:val="28"/>
      <w:szCs w:val="22"/>
      <w:lang w:val="en-US" w:eastAsia="zh-CN" w:bidi="ar-SA"/>
    </w:rPr>
  </w:style>
  <w:style w:type="character" w:customStyle="1" w:styleId="21">
    <w:name w:val="副标题 字符"/>
    <w:basedOn w:val="13"/>
    <w:link w:val="8"/>
    <w:qFormat/>
    <w:uiPriority w:val="11"/>
    <w:rPr>
      <w:rFonts w:ascii="Times New Roman" w:hAnsi="Times New Roman" w:eastAsia="华文中宋"/>
      <w:b/>
      <w:bCs/>
      <w:kern w:val="28"/>
      <w:sz w:val="32"/>
      <w:szCs w:val="32"/>
    </w:rPr>
  </w:style>
  <w:style w:type="paragraph" w:customStyle="1" w:styleId="22">
    <w:name w:val="图表"/>
    <w:basedOn w:val="1"/>
    <w:link w:val="23"/>
    <w:qFormat/>
    <w:uiPriority w:val="0"/>
    <w:pPr>
      <w:adjustRightInd w:val="0"/>
      <w:snapToGrid w:val="0"/>
      <w:spacing w:line="240" w:lineRule="auto"/>
      <w:ind w:firstLine="0" w:firstLineChars="0"/>
      <w:jc w:val="center"/>
    </w:pPr>
    <w:rPr>
      <w:rFonts w:cs="Times New Roman"/>
      <w:b/>
      <w:bCs/>
      <w:sz w:val="28"/>
      <w:szCs w:val="24"/>
    </w:rPr>
  </w:style>
  <w:style w:type="character" w:customStyle="1" w:styleId="23">
    <w:name w:val="图表 Char"/>
    <w:link w:val="22"/>
    <w:qFormat/>
    <w:uiPriority w:val="0"/>
    <w:rPr>
      <w:rFonts w:ascii="Times New Roman" w:hAnsi="Times New Roman" w:eastAsia="仿宋_GB2312" w:cs="Times New Roman"/>
      <w:b/>
      <w:bCs/>
      <w:sz w:val="28"/>
      <w:szCs w:val="24"/>
    </w:rPr>
  </w:style>
  <w:style w:type="paragraph" w:styleId="24">
    <w:name w:val="List Paragraph"/>
    <w:basedOn w:val="1"/>
    <w:qFormat/>
    <w:uiPriority w:val="34"/>
    <w:pPr>
      <w:ind w:firstLine="420"/>
    </w:pPr>
  </w:style>
  <w:style w:type="paragraph" w:customStyle="1" w:styleId="25">
    <w:name w:val="Default"/>
    <w:qFormat/>
    <w:uiPriority w:val="0"/>
    <w:pPr>
      <w:widowControl w:val="0"/>
      <w:autoSpaceDE w:val="0"/>
      <w:autoSpaceDN w:val="0"/>
      <w:adjustRightInd w:val="0"/>
    </w:pPr>
    <w:rPr>
      <w:rFonts w:ascii="华文中宋" w:eastAsia="华文中宋" w:cs="华文中宋" w:hAnsiTheme="minorHAnsi"/>
      <w:color w:val="000000"/>
      <w:kern w:val="0"/>
      <w:sz w:val="24"/>
      <w:szCs w:val="24"/>
      <w:lang w:val="en-US" w:eastAsia="zh-CN" w:bidi="ar-SA"/>
      <w14:ligatures w14:val="standardContextual"/>
    </w:rPr>
  </w:style>
  <w:style w:type="character" w:customStyle="1" w:styleId="26">
    <w:name w:val="日期 字符"/>
    <w:basedOn w:val="13"/>
    <w:link w:val="5"/>
    <w:semiHidden/>
    <w:qFormat/>
    <w:uiPriority w:val="99"/>
    <w:rPr>
      <w:rFonts w:ascii="Times New Roman" w:hAnsi="Times New Roman" w:eastAsia="仿宋_GB2312"/>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164</Words>
  <Characters>937</Characters>
  <Lines>7</Lines>
  <Paragraphs>2</Paragraphs>
  <TotalTime>1</TotalTime>
  <ScaleCrop>false</ScaleCrop>
  <LinksUpToDate>false</LinksUpToDate>
  <CharactersWithSpaces>1099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2023-11-22T10:55:00Z</dcterms:created>
  <dc:creator>ZK1011-1</dc:creator>
  <cp:lastModifiedBy>ql</cp:lastModifiedBy>
  <dcterms:modified xsi:type="dcterms:W3CDTF">2023-11-30T15:41:26Z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