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7560" w:type="dxa"/>
        <w:jc w:val="center"/>
        <w:tblCellSpacing w:w="15" w:type="dxa"/>
        <w:tblInd w:w="41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5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630" w:hRule="atLeast"/>
          <w:tblCellSpacing w:w="15" w:type="dxa"/>
          <w:jc w:val="center"/>
        </w:trPr>
        <w:tc>
          <w:tcPr>
            <w:tcW w:w="7500" w:type="dxa"/>
            <w:shd w:val="clear"/>
            <w:vAlign w:val="bottom"/>
          </w:tcPr>
          <w:p>
            <w:pPr>
              <w:keepNext w:val="0"/>
              <w:keepLines w:val="0"/>
              <w:widowControl/>
              <w:suppressLineNumbers w:val="0"/>
              <w:spacing w:line="330" w:lineRule="atLeast"/>
              <w:ind w:left="0" w:firstLine="0"/>
              <w:jc w:val="center"/>
              <w:rPr>
                <w:rFonts w:hint="eastAsia" w:ascii="宋体" w:hAnsi="宋体" w:eastAsia="宋体" w:cs="宋体"/>
                <w:b/>
                <w:caps w:val="0"/>
                <w:color w:val="000000"/>
                <w:spacing w:val="0"/>
                <w:sz w:val="30"/>
                <w:szCs w:val="30"/>
                <w:u w:val="none"/>
              </w:rPr>
            </w:pPr>
            <w:r>
              <w:rPr>
                <w:rFonts w:hint="eastAsia" w:ascii="宋体" w:hAnsi="宋体" w:eastAsia="宋体" w:cs="宋体"/>
                <w:b/>
                <w:caps w:val="0"/>
                <w:color w:val="000000"/>
                <w:spacing w:val="0"/>
                <w:kern w:val="0"/>
                <w:sz w:val="30"/>
                <w:szCs w:val="30"/>
                <w:u w:val="none"/>
                <w:lang w:val="en-US" w:eastAsia="zh-CN" w:bidi="ar"/>
              </w:rPr>
              <w:t>焦作市市本级2016年度国有建设用地供应计划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1" w:hRule="atLeast"/>
          <w:tblCellSpacing w:w="15" w:type="dxa"/>
          <w:jc w:val="center"/>
        </w:trPr>
        <w:tc>
          <w:tcPr>
            <w:tcW w:w="7500" w:type="dxa"/>
            <w:shd w:val="clear"/>
            <w:vAlign w:val="center"/>
          </w:tcPr>
          <w:p>
            <w:pPr>
              <w:jc w:val="center"/>
              <w:rPr>
                <w:rFonts w:hint="eastAsia" w:ascii="宋体" w:hAnsi="宋体" w:eastAsia="宋体" w:cs="宋体"/>
                <w:b/>
                <w:caps w:val="0"/>
                <w:color w:val="DA353B"/>
                <w:spacing w:val="15"/>
                <w:sz w:val="19"/>
                <w:szCs w:val="19"/>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jc w:val="center"/>
        </w:trPr>
        <w:tc>
          <w:tcPr>
            <w:tcW w:w="7500" w:type="dxa"/>
            <w:shd w:val="clear"/>
            <w:vAlign w:val="center"/>
          </w:tcPr>
          <w:tbl>
            <w:tblPr>
              <w:tblW w:w="6723" w:type="dxa"/>
              <w:jc w:val="center"/>
              <w:tblCellSpacing w:w="15" w:type="dxa"/>
              <w:tblInd w:w="374" w:type="dxa"/>
              <w:shd w:val="clear"/>
              <w:tblLayout w:type="fixed"/>
              <w:tblCellMar>
                <w:top w:w="15" w:type="dxa"/>
                <w:left w:w="15" w:type="dxa"/>
                <w:bottom w:w="15" w:type="dxa"/>
                <w:right w:w="15" w:type="dxa"/>
              </w:tblCellMar>
            </w:tblPr>
            <w:tblGrid>
              <w:gridCol w:w="2542"/>
              <w:gridCol w:w="986"/>
              <w:gridCol w:w="1770"/>
              <w:gridCol w:w="1425"/>
            </w:tblGrid>
            <w:tr>
              <w:tblPrEx>
                <w:shd w:val="clear"/>
                <w:tblLayout w:type="fixed"/>
                <w:tblCellMar>
                  <w:top w:w="15" w:type="dxa"/>
                  <w:left w:w="15" w:type="dxa"/>
                  <w:bottom w:w="15" w:type="dxa"/>
                  <w:right w:w="15" w:type="dxa"/>
                </w:tblCellMar>
              </w:tblPrEx>
              <w:trPr>
                <w:tblCellSpacing w:w="15" w:type="dxa"/>
                <w:jc w:val="center"/>
              </w:trPr>
              <w:tc>
                <w:tcPr>
                  <w:tcW w:w="2497" w:type="dxa"/>
                  <w:shd w:val="clear"/>
                  <w:vAlign w:val="center"/>
                </w:tcPr>
                <w:p>
                  <w:pPr>
                    <w:pStyle w:val="2"/>
                    <w:keepNext w:val="0"/>
                    <w:keepLines w:val="0"/>
                    <w:widowControl/>
                    <w:suppressLineNumbers w:val="0"/>
                    <w:spacing w:line="330" w:lineRule="atLeast"/>
                    <w:jc w:val="center"/>
                  </w:pPr>
                  <w:r>
                    <w:rPr>
                      <w:color w:val="000000"/>
                      <w:sz w:val="21"/>
                      <w:szCs w:val="21"/>
                      <w:u w:val="none"/>
                    </w:rPr>
                    <w:t>发布日期：2016-03-11</w:t>
                  </w:r>
                </w:p>
              </w:tc>
              <w:tc>
                <w:tcPr>
                  <w:tcW w:w="956" w:type="dxa"/>
                  <w:shd w:val="clear"/>
                  <w:vAlign w:val="center"/>
                </w:tcPr>
                <w:p>
                  <w:pPr>
                    <w:keepNext w:val="0"/>
                    <w:keepLines w:val="0"/>
                    <w:widowControl/>
                    <w:suppressLineNumbers w:val="0"/>
                    <w:spacing w:line="330" w:lineRule="atLeast"/>
                    <w:jc w:val="left"/>
                    <w:rPr>
                      <w:color w:val="000000"/>
                      <w:sz w:val="21"/>
                      <w:szCs w:val="21"/>
                      <w:u w:val="none"/>
                    </w:rPr>
                  </w:pPr>
                  <w:r>
                    <w:rPr>
                      <w:rFonts w:ascii="宋体" w:hAnsi="宋体" w:eastAsia="宋体" w:cs="宋体"/>
                      <w:color w:val="000000"/>
                      <w:kern w:val="0"/>
                      <w:sz w:val="21"/>
                      <w:szCs w:val="21"/>
                      <w:u w:val="none"/>
                      <w:lang w:val="en-US" w:eastAsia="zh-CN" w:bidi="ar"/>
                    </w:rPr>
                    <w:t>信息来源：</w:t>
                  </w:r>
                  <w:r>
                    <w:rPr>
                      <w:rFonts w:ascii="宋体" w:hAnsi="宋体" w:eastAsia="宋体" w:cs="宋体"/>
                      <w:color w:val="333333"/>
                      <w:kern w:val="0"/>
                      <w:sz w:val="21"/>
                      <w:szCs w:val="21"/>
                      <w:u w:val="none"/>
                      <w:lang w:val="en-US" w:eastAsia="zh-CN" w:bidi="ar"/>
                    </w:rPr>
                    <w:fldChar w:fldCharType="begin"/>
                  </w:r>
                  <w:r>
                    <w:rPr>
                      <w:rFonts w:ascii="宋体" w:hAnsi="宋体" w:eastAsia="宋体" w:cs="宋体"/>
                      <w:color w:val="333333"/>
                      <w:kern w:val="0"/>
                      <w:sz w:val="21"/>
                      <w:szCs w:val="21"/>
                      <w:u w:val="none"/>
                      <w:lang w:val="en-US" w:eastAsia="zh-CN" w:bidi="ar"/>
                    </w:rPr>
                    <w:instrText xml:space="preserve"> HYPERLINK "http://www.jzgtzy.gov.cn/" \t "http://www.jzgtzy.gov.cn/zwgk/tdgyjhgs/20160510/_blank" </w:instrText>
                  </w:r>
                  <w:r>
                    <w:rPr>
                      <w:rFonts w:ascii="宋体" w:hAnsi="宋体" w:eastAsia="宋体" w:cs="宋体"/>
                      <w:color w:val="333333"/>
                      <w:kern w:val="0"/>
                      <w:sz w:val="21"/>
                      <w:szCs w:val="21"/>
                      <w:u w:val="none"/>
                      <w:lang w:val="en-US" w:eastAsia="zh-CN" w:bidi="ar"/>
                    </w:rPr>
                    <w:fldChar w:fldCharType="separate"/>
                  </w:r>
                  <w:r>
                    <w:rPr>
                      <w:rStyle w:val="4"/>
                      <w:rFonts w:ascii="宋体" w:hAnsi="宋体" w:eastAsia="宋体" w:cs="宋体"/>
                      <w:color w:val="333333"/>
                      <w:sz w:val="21"/>
                      <w:szCs w:val="21"/>
                      <w:u w:val="none"/>
                    </w:rPr>
                    <w:t>利用科</w:t>
                  </w:r>
                  <w:r>
                    <w:rPr>
                      <w:rFonts w:ascii="宋体" w:hAnsi="宋体" w:eastAsia="宋体" w:cs="宋体"/>
                      <w:color w:val="333333"/>
                      <w:kern w:val="0"/>
                      <w:sz w:val="21"/>
                      <w:szCs w:val="21"/>
                      <w:u w:val="none"/>
                      <w:lang w:val="en-US" w:eastAsia="zh-CN" w:bidi="ar"/>
                    </w:rPr>
                    <w:fldChar w:fldCharType="end"/>
                  </w:r>
                </w:p>
              </w:tc>
              <w:tc>
                <w:tcPr>
                  <w:tcW w:w="1740" w:type="dxa"/>
                  <w:shd w:val="clear"/>
                  <w:vAlign w:val="center"/>
                </w:tcPr>
                <w:p>
                  <w:pPr>
                    <w:keepNext w:val="0"/>
                    <w:keepLines w:val="0"/>
                    <w:widowControl/>
                    <w:suppressLineNumbers w:val="0"/>
                    <w:spacing w:line="330" w:lineRule="atLeast"/>
                    <w:jc w:val="left"/>
                    <w:rPr>
                      <w:color w:val="000000"/>
                      <w:sz w:val="21"/>
                      <w:szCs w:val="21"/>
                      <w:u w:val="none"/>
                    </w:rPr>
                  </w:pPr>
                  <w:r>
                    <w:rPr>
                      <w:rFonts w:ascii="宋体" w:hAnsi="宋体" w:eastAsia="宋体" w:cs="宋体"/>
                      <w:color w:val="000000"/>
                      <w:kern w:val="0"/>
                      <w:sz w:val="21"/>
                      <w:szCs w:val="21"/>
                      <w:u w:val="none"/>
                      <w:lang w:val="en-US" w:eastAsia="zh-CN" w:bidi="ar"/>
                    </w:rPr>
                    <w:t>访问次数: 283</w:t>
                  </w:r>
                </w:p>
              </w:tc>
              <w:tc>
                <w:tcPr>
                  <w:tcW w:w="1380" w:type="dxa"/>
                  <w:shd w:val="clear"/>
                  <w:vAlign w:val="center"/>
                </w:tcPr>
                <w:p>
                  <w:pPr>
                    <w:keepNext w:val="0"/>
                    <w:keepLines w:val="0"/>
                    <w:widowControl/>
                    <w:suppressLineNumbers w:val="0"/>
                    <w:spacing w:line="330" w:lineRule="atLeast"/>
                    <w:jc w:val="left"/>
                    <w:rPr>
                      <w:color w:val="000000"/>
                      <w:sz w:val="21"/>
                      <w:szCs w:val="21"/>
                      <w:u w:val="none"/>
                    </w:rPr>
                  </w:pPr>
                  <w:r>
                    <w:rPr>
                      <w:rFonts w:ascii="宋体" w:hAnsi="宋体" w:eastAsia="宋体" w:cs="宋体"/>
                      <w:color w:val="000000"/>
                      <w:kern w:val="0"/>
                      <w:sz w:val="21"/>
                      <w:szCs w:val="21"/>
                      <w:u w:val="none"/>
                      <w:lang w:val="en-US" w:eastAsia="zh-CN" w:bidi="ar"/>
                    </w:rPr>
                    <w:t>字号：[ </w:t>
                  </w:r>
                  <w:r>
                    <w:rPr>
                      <w:rFonts w:ascii="宋体" w:hAnsi="宋体" w:eastAsia="宋体" w:cs="宋体"/>
                      <w:color w:val="333333"/>
                      <w:kern w:val="0"/>
                      <w:sz w:val="21"/>
                      <w:szCs w:val="21"/>
                      <w:u w:val="none"/>
                      <w:lang w:val="en-US" w:eastAsia="zh-CN" w:bidi="ar"/>
                    </w:rPr>
                    <w:fldChar w:fldCharType="begin"/>
                  </w:r>
                  <w:r>
                    <w:rPr>
                      <w:rFonts w:ascii="宋体" w:hAnsi="宋体" w:eastAsia="宋体" w:cs="宋体"/>
                      <w:color w:val="333333"/>
                      <w:kern w:val="0"/>
                      <w:sz w:val="21"/>
                      <w:szCs w:val="21"/>
                      <w:u w:val="none"/>
                      <w:lang w:val="en-US" w:eastAsia="zh-CN" w:bidi="ar"/>
                    </w:rPr>
                    <w:instrText xml:space="preserve"> HYPERLINK "http://www.jzgtzy.gov.cn/zwgk/tdgyjhgs/20160510/javascript:doZoom(16)" </w:instrText>
                  </w:r>
                  <w:r>
                    <w:rPr>
                      <w:rFonts w:ascii="宋体" w:hAnsi="宋体" w:eastAsia="宋体" w:cs="宋体"/>
                      <w:color w:val="333333"/>
                      <w:kern w:val="0"/>
                      <w:sz w:val="21"/>
                      <w:szCs w:val="21"/>
                      <w:u w:val="none"/>
                      <w:lang w:val="en-US" w:eastAsia="zh-CN" w:bidi="ar"/>
                    </w:rPr>
                    <w:fldChar w:fldCharType="separate"/>
                  </w:r>
                  <w:r>
                    <w:rPr>
                      <w:rStyle w:val="4"/>
                      <w:rFonts w:ascii="宋体" w:hAnsi="宋体" w:eastAsia="宋体" w:cs="宋体"/>
                      <w:color w:val="333333"/>
                      <w:sz w:val="21"/>
                      <w:szCs w:val="21"/>
                      <w:u w:val="none"/>
                    </w:rPr>
                    <w:t>大</w:t>
                  </w:r>
                  <w:r>
                    <w:rPr>
                      <w:rFonts w:ascii="宋体" w:hAnsi="宋体" w:eastAsia="宋体" w:cs="宋体"/>
                      <w:color w:val="333333"/>
                      <w:kern w:val="0"/>
                      <w:sz w:val="21"/>
                      <w:szCs w:val="21"/>
                      <w:u w:val="none"/>
                      <w:lang w:val="en-US" w:eastAsia="zh-CN" w:bidi="ar"/>
                    </w:rPr>
                    <w:fldChar w:fldCharType="end"/>
                  </w:r>
                  <w:r>
                    <w:rPr>
                      <w:rFonts w:ascii="宋体" w:hAnsi="宋体" w:eastAsia="宋体" w:cs="宋体"/>
                      <w:color w:val="000000"/>
                      <w:kern w:val="0"/>
                      <w:sz w:val="21"/>
                      <w:szCs w:val="21"/>
                      <w:u w:val="none"/>
                      <w:lang w:val="en-US" w:eastAsia="zh-CN" w:bidi="ar"/>
                    </w:rPr>
                    <w:t> </w:t>
                  </w:r>
                  <w:r>
                    <w:rPr>
                      <w:rFonts w:ascii="宋体" w:hAnsi="宋体" w:eastAsia="宋体" w:cs="宋体"/>
                      <w:color w:val="333333"/>
                      <w:kern w:val="0"/>
                      <w:sz w:val="21"/>
                      <w:szCs w:val="21"/>
                      <w:u w:val="none"/>
                      <w:lang w:val="en-US" w:eastAsia="zh-CN" w:bidi="ar"/>
                    </w:rPr>
                    <w:fldChar w:fldCharType="begin"/>
                  </w:r>
                  <w:r>
                    <w:rPr>
                      <w:rFonts w:ascii="宋体" w:hAnsi="宋体" w:eastAsia="宋体" w:cs="宋体"/>
                      <w:color w:val="333333"/>
                      <w:kern w:val="0"/>
                      <w:sz w:val="21"/>
                      <w:szCs w:val="21"/>
                      <w:u w:val="none"/>
                      <w:lang w:val="en-US" w:eastAsia="zh-CN" w:bidi="ar"/>
                    </w:rPr>
                    <w:instrText xml:space="preserve"> HYPERLINK "http://www.jzgtzy.gov.cn/zwgk/tdgyjhgs/20160510/javascript:doZoom(14)" </w:instrText>
                  </w:r>
                  <w:r>
                    <w:rPr>
                      <w:rFonts w:ascii="宋体" w:hAnsi="宋体" w:eastAsia="宋体" w:cs="宋体"/>
                      <w:color w:val="333333"/>
                      <w:kern w:val="0"/>
                      <w:sz w:val="21"/>
                      <w:szCs w:val="21"/>
                      <w:u w:val="none"/>
                      <w:lang w:val="en-US" w:eastAsia="zh-CN" w:bidi="ar"/>
                    </w:rPr>
                    <w:fldChar w:fldCharType="separate"/>
                  </w:r>
                  <w:r>
                    <w:rPr>
                      <w:rStyle w:val="4"/>
                      <w:rFonts w:ascii="宋体" w:hAnsi="宋体" w:eastAsia="宋体" w:cs="宋体"/>
                      <w:color w:val="333333"/>
                      <w:sz w:val="21"/>
                      <w:szCs w:val="21"/>
                      <w:u w:val="none"/>
                    </w:rPr>
                    <w:t>中</w:t>
                  </w:r>
                  <w:r>
                    <w:rPr>
                      <w:rFonts w:ascii="宋体" w:hAnsi="宋体" w:eastAsia="宋体" w:cs="宋体"/>
                      <w:color w:val="333333"/>
                      <w:kern w:val="0"/>
                      <w:sz w:val="21"/>
                      <w:szCs w:val="21"/>
                      <w:u w:val="none"/>
                      <w:lang w:val="en-US" w:eastAsia="zh-CN" w:bidi="ar"/>
                    </w:rPr>
                    <w:fldChar w:fldCharType="end"/>
                  </w:r>
                  <w:r>
                    <w:rPr>
                      <w:rFonts w:ascii="宋体" w:hAnsi="宋体" w:eastAsia="宋体" w:cs="宋体"/>
                      <w:color w:val="000000"/>
                      <w:kern w:val="0"/>
                      <w:sz w:val="21"/>
                      <w:szCs w:val="21"/>
                      <w:u w:val="none"/>
                      <w:lang w:val="en-US" w:eastAsia="zh-CN" w:bidi="ar"/>
                    </w:rPr>
                    <w:t> </w:t>
                  </w:r>
                  <w:r>
                    <w:rPr>
                      <w:rFonts w:ascii="宋体" w:hAnsi="宋体" w:eastAsia="宋体" w:cs="宋体"/>
                      <w:color w:val="333333"/>
                      <w:kern w:val="0"/>
                      <w:sz w:val="21"/>
                      <w:szCs w:val="21"/>
                      <w:u w:val="none"/>
                      <w:lang w:val="en-US" w:eastAsia="zh-CN" w:bidi="ar"/>
                    </w:rPr>
                    <w:fldChar w:fldCharType="begin"/>
                  </w:r>
                  <w:r>
                    <w:rPr>
                      <w:rFonts w:ascii="宋体" w:hAnsi="宋体" w:eastAsia="宋体" w:cs="宋体"/>
                      <w:color w:val="333333"/>
                      <w:kern w:val="0"/>
                      <w:sz w:val="21"/>
                      <w:szCs w:val="21"/>
                      <w:u w:val="none"/>
                      <w:lang w:val="en-US" w:eastAsia="zh-CN" w:bidi="ar"/>
                    </w:rPr>
                    <w:instrText xml:space="preserve"> HYPERLINK "http://www.jzgtzy.gov.cn/zwgk/tdgyjhgs/20160510/javascript:doZoom(12)" </w:instrText>
                  </w:r>
                  <w:r>
                    <w:rPr>
                      <w:rFonts w:ascii="宋体" w:hAnsi="宋体" w:eastAsia="宋体" w:cs="宋体"/>
                      <w:color w:val="333333"/>
                      <w:kern w:val="0"/>
                      <w:sz w:val="21"/>
                      <w:szCs w:val="21"/>
                      <w:u w:val="none"/>
                      <w:lang w:val="en-US" w:eastAsia="zh-CN" w:bidi="ar"/>
                    </w:rPr>
                    <w:fldChar w:fldCharType="separate"/>
                  </w:r>
                  <w:r>
                    <w:rPr>
                      <w:rStyle w:val="4"/>
                      <w:rFonts w:ascii="宋体" w:hAnsi="宋体" w:eastAsia="宋体" w:cs="宋体"/>
                      <w:color w:val="333333"/>
                      <w:sz w:val="21"/>
                      <w:szCs w:val="21"/>
                      <w:u w:val="none"/>
                    </w:rPr>
                    <w:t>小</w:t>
                  </w:r>
                  <w:r>
                    <w:rPr>
                      <w:rFonts w:ascii="宋体" w:hAnsi="宋体" w:eastAsia="宋体" w:cs="宋体"/>
                      <w:color w:val="333333"/>
                      <w:kern w:val="0"/>
                      <w:sz w:val="21"/>
                      <w:szCs w:val="21"/>
                      <w:u w:val="none"/>
                      <w:lang w:val="en-US" w:eastAsia="zh-CN" w:bidi="ar"/>
                    </w:rPr>
                    <w:fldChar w:fldCharType="end"/>
                  </w:r>
                  <w:r>
                    <w:rPr>
                      <w:rFonts w:ascii="宋体" w:hAnsi="宋体" w:eastAsia="宋体" w:cs="宋体"/>
                      <w:color w:val="000000"/>
                      <w:kern w:val="0"/>
                      <w:sz w:val="21"/>
                      <w:szCs w:val="21"/>
                      <w:u w:val="none"/>
                      <w:lang w:val="en-US" w:eastAsia="zh-CN" w:bidi="ar"/>
                    </w:rPr>
                    <w:t> ]</w:t>
                  </w:r>
                </w:p>
              </w:tc>
            </w:tr>
          </w:tbl>
          <w:p>
            <w:pPr>
              <w:keepNext w:val="0"/>
              <w:keepLines w:val="0"/>
              <w:widowControl/>
              <w:suppressLineNumbers w:val="0"/>
              <w:spacing w:line="270" w:lineRule="atLeast"/>
              <w:rPr>
                <w:color w:val="DDDDDD"/>
              </w:rPr>
            </w:pPr>
            <w:r>
              <w:rPr>
                <w:sz w:val="24"/>
                <w:szCs w:val="24"/>
              </w:rPr>
              <w:pict>
                <v:rect id="_x0000_i1025" o:spt="1" style="height:0.75pt;width:391.8pt;" fillcolor="#DDDDDD" filled="t" stroked="f" coordsize="21600,21600" o:hr="t" o:hrstd="t" o:hrnoshade="t" o:hralign="center">
                  <v:path/>
                  <v:fill on="t" focussize="0,0"/>
                  <v:stroke on="f"/>
                  <v:imagedata o:title=""/>
                  <o:lock v:ext="edit"/>
                  <w10:wrap type="none"/>
                  <w10:anchorlock/>
                </v:rect>
              </w:pict>
            </w:r>
          </w:p>
          <w:p>
            <w:pPr>
              <w:keepNext w:val="0"/>
              <w:keepLines w:val="0"/>
              <w:widowControl/>
              <w:suppressLineNumbers w:val="0"/>
              <w:spacing w:line="270" w:lineRule="atLeast"/>
              <w:ind w:left="0" w:firstLine="0"/>
              <w:jc w:val="left"/>
              <w:rPr>
                <w:rFonts w:hint="eastAsia" w:ascii="宋体" w:hAnsi="宋体" w:eastAsia="宋体" w:cs="宋体"/>
                <w:caps w:val="0"/>
                <w:color w:val="333333"/>
                <w:spacing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jc w:val="center"/>
        </w:trPr>
        <w:tc>
          <w:tcPr>
            <w:tcW w:w="7500" w:type="dxa"/>
            <w:shd w:val="clear"/>
            <w:vAlign w:val="center"/>
          </w:tcPr>
          <w:p>
            <w:pPr>
              <w:pStyle w:val="2"/>
              <w:keepNext w:val="0"/>
              <w:keepLines w:val="0"/>
              <w:widowControl/>
              <w:suppressLineNumbers w:val="0"/>
              <w:spacing w:line="330" w:lineRule="atLeast"/>
              <w:jc w:val="left"/>
            </w:pPr>
            <w:r>
              <w:rPr>
                <w:rFonts w:hint="eastAsia" w:ascii="宋体" w:hAnsi="宋体" w:eastAsia="宋体" w:cs="宋体"/>
                <w:caps w:val="0"/>
                <w:color w:val="000000"/>
                <w:spacing w:val="0"/>
                <w:sz w:val="21"/>
                <w:szCs w:val="21"/>
                <w:u w:val="none"/>
              </w:rPr>
              <w:t>    为科学调控土地市场，合理配置土地资源，积极发挥计划引导作用，有序安排国有建设用地供应，切实发挥好土地供应对“稳增长、促改革、调结构、强基础、惠民生、防风险”的支撑保障作用。依据焦作市“十三五”土地利用、城市发展规划及本年度经济发展目标，特制定2016年度市本级土地供应计划。</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一、指导思想</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以科学发展观为统领，深入贯彻党的十八大、十八届三中、四中、五中全会精神，全面落实省委、省政府和省国土资源厅的决策部署，立足保护国土资源、节约集约利用国土资源，紧紧围绕全市推进供给侧结构性改革的大局，坚持“凝心聚力、转型攻坚、争创一流、绿色发展”，按照部省“去库存”的要求，控新增、减存量，引导项目优先利用现有存量收储土地，着力提高资源供给质量和效益，科学处置闲置和低效用地，合理安排市本级2016年度国有建设用地供应的总量、结构、布局、时序和方式，充分发挥国有建设用地供应计划在宏观调控中的作用，促进土地供应结构调整和利用方式的转变，为加快经济转型示范市和美丽焦作建设提供保障。</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二、供应原则</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（一）坚持节约集约原则</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坚持节约优先、保护优先原则，创新节约集约用地新模式。严格落实建设项目用地政策、审核建设项目用地标准、审查项目节约集约用地方案，严控禁止和限制类项目用地；推进“以地控税、以税节地”新机制，加快城镇空闲土地、低效、闲置土地处置，提高土地使用效率；精准收储控增量，盘活存量去库存，坚持规划先行、项目引领，紧盯市场，突出市商务中心区建设、水系建设、民生工程等重点，积极采取去存量土地供应方式，变粗放土地收储为精细化管理，引导项目优先利用现有存量收储土地，促进土地市场健康发展。</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（二）坚持优化供应结构原则</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坚持以改善需求结构、优化产业结构、促进区域协调发展、推进新型城镇化为重点，优先安排政府“十大建设”工程和重点建设项目、重大基础设施项目、现代服务项目、战略性新兴产业项目等国家鼓励类项目用地，重点支持产业集聚区、商务中心区、特色商业区建设的土地供应；适度控制商服用地、房地产项目用地供应规模，房地产土地供应以安置保障房、棚户区改造和城中村改造项目为主；从严控制限制类项目用地，严禁为高能耗、高污染、高排放和产能过剩等禁止类项目安排用地。</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（三）坚持布局优化原则</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以新型城市化为主导，统筹区域联动发展，调整优化用地空间，着力提升市区功能品质，推进城镇低效用地再开发和城市空间立体开发，以用地空间的优化促进城市功能布局的调整。</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三、供应计划</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（一）供应总量</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2016年焦作市市本级国有建设用地供应总量计划安排369.3542公顷（合5540.31亩），其中新增建设用地计划供应322.6742公顷（合4840.11亩），存量建设用地计划供应46.6800公顷（合700.20亩）。</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（二）用途结构</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2016年计划供应商服用地14.5975公顷，占国有建设用地供应总量的3.95%；工矿仓储用地96.2266公顷，占国有建设用地供应总量的26.05%；住宅用地137.1168公顷，占国有建设用地供应总量的37.12%；公共管理与公共服务用地96.0846公顷，占国有建设用地供应总量的26.02%；交通运输用地10.3287公顷，占国有建设用地供应总量的2.80%；特殊用地15.0000公顷，占国有建设用地供应总量的4.06%。</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（三）供应布局</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2016年解放区拟供应土地89.8547公顷，占国有建设用地供应总量的24.33%；中站区拟供应土地112.3760公顷，占国有建设用地供应总量的30.42%；马村区拟供应土地42.8670公顷，占国有建设用地供应总量的11.61%；山阳区拟供应土地71.6628公顷，占国有建设用地供应总量的19.40%；焦作市城乡一体化示范区拟供应土地52.5937公顷，占国有建设用地供应总量的14.24%。</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四、供应实施</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各辖区政府、示范区管委会和市政府有关部门应采取有效措施，切实做好2016年度国有建设用地供应计划实施工作。</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（一）实施计划公示</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市国土资源局要在3月10日前向社会公布市本级国有建设用地供应计划，并在中国土地市场网上发布公告，各有关部门应加强协作，严格按照计划安排用地，共同组织做好建设项目用地供应计划实施工作。</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（二）严格计划执行</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严格执行建设项目的用地标准和相关控制性指标，建立土地供应用地标准管理机制。严格计划管理，一经市政府批准，不得随意变更。因政策、市场和重大建设项目等情况变化，部分计划执行确有难度的，按照“计划严格执行、调整服从程序”的原则进行调整。</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（三）加强协调配合</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市国土局、发改委、住建局和规划局等部门应加强协作配合，形成合力，共同组织做好建设项目用地供应的各项工作，进一步完善各部门共同实施计划的联动机制。主动服务，定期协调解决计划实施过程中遇到的问题，对列入计划的项目加快审批，支持帮助各区推进计划实施，对市政府确定的重大项目要优化审批服务，开辟供地快速通道。</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（四）促进土地集约利用</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坚持节约集约用地政策，建设项目用地鼓励利用存量，严格控制增量。工业用地项目鼓励提高单位面积投资强度，提倡和推广多层标准厂房建设。市国土局、发改委、住建局和规划局要对各区政府、示范区管委会和有关行业主管部门土地供应计划的组织、工作绩效和计划实施效果进行综合评价，结合各区本年度内耕地保护目标责任的落实情况和违法违规用地情况，形成综合意见上报市政府并纳入市政府考核各区政府、示范区管委会工作的指标内容。</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（五）合理把握供应节奏</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开辟绿色审批通道，进一步优化审批程序，提高效率，加快民生项目、保障性安居工程、新兴产业发展项目的用地供应，合理把握商品房土地供应节奏，避免集中放量。密切跟踪市场形势，加强对土地市场的监测监管，及时发布土地市场信息，合理引导市场需求。</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（六）建立公众监督与参与通道</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建立供应计划的社会参与制度，不断拓宽公众参与渠道、创新公众参与方式，形成“政府主导、专家领衔、公众参与、民主决策”的社会参与机制，最大限度地发挥土地资源的社会、经济和环境效益。供地计划批准后，按照国土资源部供应计划编制规范的要求向社会公布。</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    （七）建立长效机制</w:t>
            </w:r>
            <w:r>
              <w:rPr>
                <w:rFonts w:hint="eastAsia" w:ascii="宋体" w:hAnsi="宋体" w:eastAsia="宋体" w:cs="宋体"/>
                <w:caps w:val="0"/>
                <w:color w:val="000000"/>
                <w:spacing w:val="0"/>
                <w:sz w:val="21"/>
                <w:szCs w:val="21"/>
                <w:u w:val="none"/>
              </w:rPr>
              <w:br w:type="textWrapping"/>
            </w:r>
            <w:r>
              <w:rPr>
                <w:rFonts w:hint="eastAsia" w:ascii="宋体" w:hAnsi="宋体" w:eastAsia="宋体" w:cs="宋体"/>
                <w:caps w:val="0"/>
                <w:color w:val="000000"/>
                <w:spacing w:val="0"/>
                <w:sz w:val="21"/>
                <w:szCs w:val="21"/>
                <w:u w:val="none"/>
              </w:rPr>
              <w:t>建立健全计划编制长效机制，合理预测土地市场供需。在每个供应年度完成后，对该年度供应计划完成情况进行总结，为合理预测下一年度供应指标提供依据。随着国有建设用地供应计划的实施，根据市场调控政策，及时调整年度供应计划，提高土地供应计划的可操作性和科学性。</w:t>
            </w:r>
          </w:p>
          <w:p>
            <w:pPr>
              <w:pStyle w:val="2"/>
              <w:keepNext w:val="0"/>
              <w:keepLines w:val="0"/>
              <w:widowControl/>
              <w:suppressLineNumbers w:val="0"/>
              <w:spacing w:line="330" w:lineRule="atLeast"/>
              <w:jc w:val="left"/>
            </w:pPr>
            <w:r>
              <w:rPr>
                <w:rFonts w:hint="eastAsia" w:ascii="宋体" w:hAnsi="宋体" w:eastAsia="宋体" w:cs="宋体"/>
                <w:caps w:val="0"/>
                <w:color w:val="000000"/>
                <w:spacing w:val="0"/>
                <w:sz w:val="21"/>
                <w:szCs w:val="21"/>
                <w:u w:val="none"/>
              </w:rPr>
              <w:t>    附件：焦作市市本级2016年度国有建设用地供应计划宗地表</w:t>
            </w:r>
          </w:p>
          <w:tbl>
            <w:tblPr>
              <w:tblW w:w="7452" w:type="dxa"/>
              <w:jc w:val="center"/>
              <w:tblInd w:w="4"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0" w:type="dxa"/>
                <w:left w:w="0" w:type="dxa"/>
                <w:bottom w:w="0" w:type="dxa"/>
                <w:right w:w="0" w:type="dxa"/>
              </w:tblCellMar>
            </w:tblPr>
            <w:tblGrid>
              <w:gridCol w:w="394"/>
              <w:gridCol w:w="948"/>
              <w:gridCol w:w="1456"/>
              <w:gridCol w:w="867"/>
              <w:gridCol w:w="904"/>
              <w:gridCol w:w="894"/>
              <w:gridCol w:w="1485"/>
              <w:gridCol w:w="50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0" w:type="dxa"/>
                  <w:left w:w="0" w:type="dxa"/>
                  <w:bottom w:w="0" w:type="dxa"/>
                  <w:right w:w="0" w:type="dxa"/>
                </w:tblCellMar>
              </w:tblPrEx>
              <w:trPr>
                <w:trHeight w:val="480" w:hRule="atLeast"/>
                <w:jc w:val="center"/>
              </w:trPr>
              <w:tc>
                <w:tcPr>
                  <w:tcW w:w="394"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序号</w:t>
                  </w:r>
                </w:p>
              </w:tc>
              <w:tc>
                <w:tcPr>
                  <w:tcW w:w="948"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行政辖区</w:t>
                  </w:r>
                </w:p>
              </w:tc>
              <w:tc>
                <w:tcPr>
                  <w:tcW w:w="1456"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具体位置（需填写项目所在具体详细的位置）</w:t>
                  </w:r>
                </w:p>
              </w:tc>
              <w:tc>
                <w:tcPr>
                  <w:tcW w:w="2665" w:type="dxa"/>
                  <w:gridSpan w:val="3"/>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面积</w:t>
                  </w:r>
                  <w:r>
                    <w:rPr>
                      <w:rFonts w:hint="default" w:ascii="Times New Roman" w:hAnsi="Times New Roman" w:eastAsia="宋体" w:cs="Times New Roman"/>
                      <w:color w:val="333333"/>
                      <w:kern w:val="0"/>
                      <w:sz w:val="18"/>
                      <w:szCs w:val="18"/>
                      <w:lang w:val="en-US" w:eastAsia="zh-CN" w:bidi="ar"/>
                    </w:rPr>
                    <w:t>(</w:t>
                  </w:r>
                  <w:r>
                    <w:rPr>
                      <w:rFonts w:hint="eastAsia" w:ascii="宋体" w:hAnsi="宋体" w:eastAsia="宋体" w:cs="宋体"/>
                      <w:color w:val="333333"/>
                      <w:kern w:val="0"/>
                      <w:sz w:val="18"/>
                      <w:szCs w:val="18"/>
                      <w:lang w:val="en-US" w:eastAsia="zh-CN" w:bidi="ar"/>
                    </w:rPr>
                    <w:t>公顷</w:t>
                  </w:r>
                  <w:r>
                    <w:rPr>
                      <w:rFonts w:hint="default" w:ascii="Times New Roman" w:hAnsi="Times New Roman" w:eastAsia="宋体" w:cs="Times New Roman"/>
                      <w:color w:val="333333"/>
                      <w:kern w:val="0"/>
                      <w:sz w:val="18"/>
                      <w:szCs w:val="18"/>
                      <w:lang w:val="en-US" w:eastAsia="zh-CN" w:bidi="ar"/>
                    </w:rPr>
                    <w:t>)</w:t>
                  </w:r>
                </w:p>
              </w:tc>
              <w:tc>
                <w:tcPr>
                  <w:tcW w:w="1485"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用途</w:t>
                  </w:r>
                </w:p>
              </w:tc>
              <w:tc>
                <w:tcPr>
                  <w:tcW w:w="504"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拟供地方式</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720" w:hRule="atLeast"/>
                <w:jc w:val="center"/>
              </w:trPr>
              <w:tc>
                <w:tcPr>
                  <w:tcW w:w="394"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eastAsia" w:ascii="宋体"/>
                      <w:color w:val="333333"/>
                      <w:sz w:val="18"/>
                      <w:szCs w:val="18"/>
                    </w:rPr>
                  </w:pPr>
                </w:p>
              </w:tc>
              <w:tc>
                <w:tcPr>
                  <w:tcW w:w="948"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eastAsia" w:ascii="宋体"/>
                      <w:color w:val="333333"/>
                      <w:sz w:val="18"/>
                      <w:szCs w:val="18"/>
                    </w:rPr>
                  </w:pPr>
                </w:p>
              </w:tc>
              <w:tc>
                <w:tcPr>
                  <w:tcW w:w="1456"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eastAsia" w:ascii="宋体"/>
                      <w:color w:val="333333"/>
                      <w:sz w:val="18"/>
                      <w:szCs w:val="18"/>
                    </w:rPr>
                  </w:pP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合计</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新增</w:t>
                  </w:r>
                  <w:r>
                    <w:rPr>
                      <w:rFonts w:hint="default" w:ascii="Times New Roman" w:hAnsi="Times New Roman" w:eastAsia="宋体" w:cs="Times New Roman"/>
                      <w:color w:val="333333"/>
                      <w:kern w:val="0"/>
                      <w:sz w:val="18"/>
                      <w:szCs w:val="18"/>
                      <w:lang w:val="en-US" w:eastAsia="zh-CN" w:bidi="ar"/>
                    </w:rPr>
                    <w:t>(</w:t>
                  </w:r>
                  <w:r>
                    <w:rPr>
                      <w:rFonts w:hint="eastAsia" w:ascii="宋体" w:hAnsi="宋体" w:eastAsia="宋体" w:cs="宋体"/>
                      <w:color w:val="333333"/>
                      <w:kern w:val="0"/>
                      <w:sz w:val="18"/>
                      <w:szCs w:val="18"/>
                      <w:lang w:val="en-US" w:eastAsia="zh-CN" w:bidi="ar"/>
                    </w:rPr>
                    <w:t>指转征后的农村土地）</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存量（指城区内国有建设用地）</w:t>
                  </w:r>
                </w:p>
              </w:tc>
              <w:tc>
                <w:tcPr>
                  <w:tcW w:w="1485"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eastAsia" w:ascii="宋体"/>
                      <w:color w:val="333333"/>
                      <w:sz w:val="18"/>
                      <w:szCs w:val="18"/>
                    </w:rPr>
                  </w:pPr>
                </w:p>
              </w:tc>
              <w:tc>
                <w:tcPr>
                  <w:tcW w:w="504"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eastAsia" w:ascii="宋体"/>
                      <w:color w:val="333333"/>
                      <w:sz w:val="18"/>
                      <w:szCs w:val="18"/>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w:t>
                  </w:r>
                </w:p>
              </w:tc>
              <w:tc>
                <w:tcPr>
                  <w:tcW w:w="948" w:type="dxa"/>
                  <w:vMerge w:val="restart"/>
                  <w:tcBorders>
                    <w:top w:val="nil"/>
                    <w:left w:val="single" w:color="auto" w:sz="4" w:space="0"/>
                    <w:bottom w:val="single" w:color="000000"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解放区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政二街西、龙源路北、西于村安置小区东</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1.3333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1.3333</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商住用地（南水北调安置用地）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59"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丰收路北、政二街东（花卉市场）</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0.6667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0.6667</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商住用地（南水北调安置用地）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4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都市路南段、解放区教育小区南邻</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0.4673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0.4673</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商住用地（南水北调安置用地）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22"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映湖路南、孟州路西、南通路东</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2.6667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2.6667</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商住用地（南水北调安置用地）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映湖路南、孟州路西、南通路东</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1.3333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1.3333</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商住用地（南水北调安置用地）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739"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6</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南通路西、人民路南、丰收路北（人民中学对面）</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1.6667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1.6667</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商住用地（南水北调安置用地）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7</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南通路西、人民路南、丰收路北（原石材厂）</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0.6467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0.6467</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商住用地（南水北调安置用地）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42"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8</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人民路南、团结路北、普济河东</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1.0000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1.0000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商住用地（南水北调安置用地）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4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9</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南通路西、映湖路南、普济河东</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2.6667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2.6667</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商住用地（南水北调安置用地）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42"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10</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南通路西、映湖路北、普济河东</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0.6667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0.6667</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商住用地（南水北调安置用地）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4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11</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河南路东、新店安置小区西</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1.3333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1.3333</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商住用地（南水北调安置用地）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4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12</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南通路西、映湖路北、普济河东</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2.3333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2.3333</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商住用地（南水北调安置用地）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4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13</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南通路西、映湖路南、普济河东</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1.1547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1.1547</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商住用地（南水北调安置用地）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78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14</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北至建设路，南至工业路，东至朝阳小区，西至中州路</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5.3333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5.3333</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762"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15</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解放路以南、鞭炮公司以东，原综合商业公司商住楼</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0.3333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0.3333</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462"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16</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龙源路南、民主路东侧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20.0000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20.0000</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17</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环北路与新华北街交叉口西北角</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1.0000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1.0000</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402"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44.6020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11.8214</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32.7806</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59"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FF0000"/>
                      <w:kern w:val="0"/>
                      <w:sz w:val="18"/>
                      <w:szCs w:val="18"/>
                      <w:lang w:val="en-US" w:eastAsia="zh-CN" w:bidi="ar"/>
                    </w:rPr>
                    <w:t>18</w:t>
                  </w:r>
                </w:p>
              </w:tc>
              <w:tc>
                <w:tcPr>
                  <w:tcW w:w="948"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FF0000"/>
                      <w:kern w:val="0"/>
                      <w:sz w:val="18"/>
                      <w:szCs w:val="18"/>
                      <w:lang w:val="en-US" w:eastAsia="zh-CN" w:bidi="ar"/>
                    </w:rPr>
                    <w:t>解放区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FF0000"/>
                      <w:kern w:val="0"/>
                      <w:sz w:val="18"/>
                      <w:szCs w:val="18"/>
                      <w:lang w:val="en-US" w:eastAsia="zh-CN" w:bidi="ar"/>
                    </w:rPr>
                    <w:t>村北</w:t>
                  </w:r>
                  <w:r>
                    <w:rPr>
                      <w:rFonts w:hint="default" w:ascii="Times New Roman" w:hAnsi="Times New Roman" w:eastAsia="宋体" w:cs="Times New Roman"/>
                      <w:color w:val="FF0000"/>
                      <w:kern w:val="0"/>
                      <w:sz w:val="18"/>
                      <w:szCs w:val="18"/>
                      <w:lang w:val="en-US" w:eastAsia="zh-CN" w:bidi="ar"/>
                    </w:rPr>
                    <w:t>,</w:t>
                  </w:r>
                  <w:r>
                    <w:rPr>
                      <w:rFonts w:hint="eastAsia" w:ascii="宋体" w:hAnsi="宋体" w:eastAsia="宋体" w:cs="宋体"/>
                      <w:color w:val="FF0000"/>
                      <w:kern w:val="0"/>
                      <w:sz w:val="18"/>
                      <w:szCs w:val="18"/>
                      <w:lang w:val="en-US" w:eastAsia="zh-CN" w:bidi="ar"/>
                    </w:rPr>
                    <w:t>长安路路北西侧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FF0000"/>
                      <w:kern w:val="0"/>
                      <w:sz w:val="18"/>
                      <w:szCs w:val="18"/>
                      <w:lang w:val="en-US" w:eastAsia="zh-CN" w:bidi="ar"/>
                    </w:rPr>
                    <w:t>4.0000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FF0000"/>
                      <w:kern w:val="0"/>
                      <w:sz w:val="18"/>
                      <w:szCs w:val="18"/>
                      <w:lang w:val="en-US" w:eastAsia="zh-CN" w:bidi="ar"/>
                    </w:rPr>
                    <w:t>4.0000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FF0000"/>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FF0000"/>
                      <w:kern w:val="0"/>
                      <w:sz w:val="18"/>
                      <w:szCs w:val="18"/>
                      <w:lang w:val="en-US" w:eastAsia="zh-CN" w:bidi="ar"/>
                    </w:rPr>
                    <w:t>住宅用地</w:t>
                  </w:r>
                  <w:r>
                    <w:rPr>
                      <w:rFonts w:hint="eastAsia" w:ascii="宋体" w:hAnsi="宋体" w:eastAsia="宋体" w:cs="宋体"/>
                      <w:color w:val="FF0000"/>
                      <w:kern w:val="0"/>
                      <w:sz w:val="18"/>
                      <w:szCs w:val="18"/>
                      <w:lang w:val="en-US" w:eastAsia="zh-CN" w:bidi="ar"/>
                    </w:rPr>
                    <w:br w:type="textWrapping"/>
                  </w:r>
                  <w:r>
                    <w:rPr>
                      <w:rFonts w:hint="eastAsia" w:ascii="宋体" w:hAnsi="宋体" w:eastAsia="宋体" w:cs="宋体"/>
                      <w:color w:val="FF0000"/>
                      <w:kern w:val="0"/>
                      <w:sz w:val="18"/>
                      <w:szCs w:val="18"/>
                      <w:lang w:val="en-US" w:eastAsia="zh-CN" w:bidi="ar"/>
                    </w:rPr>
                    <w:t>（城中村改造）</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FF0000"/>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75"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4.0000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4.0000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79"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FF0000"/>
                      <w:kern w:val="0"/>
                      <w:sz w:val="18"/>
                      <w:szCs w:val="18"/>
                      <w:lang w:val="en-US" w:eastAsia="zh-CN" w:bidi="ar"/>
                    </w:rPr>
                    <w:t>19</w:t>
                  </w:r>
                </w:p>
              </w:tc>
              <w:tc>
                <w:tcPr>
                  <w:tcW w:w="948" w:type="dxa"/>
                  <w:vMerge w:val="restart"/>
                  <w:tcBorders>
                    <w:top w:val="nil"/>
                    <w:left w:val="single" w:color="auto" w:sz="4" w:space="0"/>
                    <w:bottom w:val="single" w:color="000000"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FF0000"/>
                      <w:kern w:val="0"/>
                      <w:sz w:val="18"/>
                      <w:szCs w:val="18"/>
                      <w:lang w:val="en-US" w:eastAsia="zh-CN" w:bidi="ar"/>
                    </w:rPr>
                    <w:t>解放区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FF0000"/>
                      <w:kern w:val="0"/>
                      <w:sz w:val="18"/>
                      <w:szCs w:val="18"/>
                      <w:lang w:val="en-US" w:eastAsia="zh-CN" w:bidi="ar"/>
                    </w:rPr>
                    <w:t>解放区上白作乡马涧村</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FF0000"/>
                      <w:kern w:val="0"/>
                      <w:sz w:val="18"/>
                      <w:szCs w:val="18"/>
                      <w:lang w:val="en-US" w:eastAsia="zh-CN" w:bidi="ar"/>
                    </w:rPr>
                    <w:t>2.6667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FF0000"/>
                      <w:kern w:val="0"/>
                      <w:sz w:val="18"/>
                      <w:szCs w:val="18"/>
                      <w:lang w:val="en-US" w:eastAsia="zh-CN" w:bidi="ar"/>
                    </w:rPr>
                    <w:t>2.6667</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FF0000"/>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FF0000"/>
                      <w:kern w:val="0"/>
                      <w:sz w:val="18"/>
                      <w:szCs w:val="18"/>
                      <w:lang w:val="en-US" w:eastAsia="zh-CN" w:bidi="ar"/>
                    </w:rPr>
                    <w:t>工矿仓储用地</w:t>
                  </w:r>
                  <w:r>
                    <w:rPr>
                      <w:rFonts w:hint="eastAsia" w:ascii="宋体" w:hAnsi="宋体" w:eastAsia="宋体" w:cs="宋体"/>
                      <w:color w:val="FF0000"/>
                      <w:kern w:val="0"/>
                      <w:sz w:val="18"/>
                      <w:szCs w:val="18"/>
                      <w:lang w:val="en-US" w:eastAsia="zh-CN" w:bidi="ar"/>
                    </w:rPr>
                    <w:br w:type="textWrapping"/>
                  </w:r>
                  <w:r>
                    <w:rPr>
                      <w:rFonts w:hint="eastAsia" w:ascii="宋体" w:hAnsi="宋体" w:eastAsia="宋体" w:cs="宋体"/>
                      <w:color w:val="FF0000"/>
                      <w:kern w:val="0"/>
                      <w:sz w:val="18"/>
                      <w:szCs w:val="18"/>
                      <w:lang w:val="en-US" w:eastAsia="zh-CN" w:bidi="ar"/>
                    </w:rPr>
                    <w:t>（工业用地）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FF0000"/>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FF0000"/>
                      <w:kern w:val="0"/>
                      <w:sz w:val="18"/>
                      <w:szCs w:val="18"/>
                      <w:lang w:val="en-US" w:eastAsia="zh-CN" w:bidi="ar"/>
                    </w:rPr>
                    <w:t>20</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FF0000"/>
                      <w:kern w:val="0"/>
                      <w:sz w:val="18"/>
                      <w:szCs w:val="18"/>
                      <w:lang w:val="en-US" w:eastAsia="zh-CN" w:bidi="ar"/>
                    </w:rPr>
                    <w:t>解放区上白作乡上白作村</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FF0000"/>
                      <w:kern w:val="0"/>
                      <w:sz w:val="18"/>
                      <w:szCs w:val="18"/>
                      <w:lang w:val="en-US" w:eastAsia="zh-CN" w:bidi="ar"/>
                    </w:rPr>
                    <w:t>3.3333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FF0000"/>
                      <w:kern w:val="0"/>
                      <w:sz w:val="18"/>
                      <w:szCs w:val="18"/>
                      <w:lang w:val="en-US" w:eastAsia="zh-CN" w:bidi="ar"/>
                    </w:rPr>
                    <w:t>3.3333</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FF0000"/>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FF0000"/>
                      <w:kern w:val="0"/>
                      <w:sz w:val="18"/>
                      <w:szCs w:val="18"/>
                      <w:lang w:val="en-US" w:eastAsia="zh-CN" w:bidi="ar"/>
                    </w:rPr>
                    <w:t>工矿仓储用地</w:t>
                  </w:r>
                  <w:r>
                    <w:rPr>
                      <w:rFonts w:hint="eastAsia" w:ascii="宋体" w:hAnsi="宋体" w:eastAsia="宋体" w:cs="宋体"/>
                      <w:color w:val="FF0000"/>
                      <w:kern w:val="0"/>
                      <w:sz w:val="18"/>
                      <w:szCs w:val="18"/>
                      <w:lang w:val="en-US" w:eastAsia="zh-CN" w:bidi="ar"/>
                    </w:rPr>
                    <w:br w:type="textWrapping"/>
                  </w:r>
                  <w:r>
                    <w:rPr>
                      <w:rFonts w:hint="eastAsia" w:ascii="宋体" w:hAnsi="宋体" w:eastAsia="宋体" w:cs="宋体"/>
                      <w:color w:val="FF0000"/>
                      <w:kern w:val="0"/>
                      <w:sz w:val="18"/>
                      <w:szCs w:val="18"/>
                      <w:lang w:val="en-US" w:eastAsia="zh-CN" w:bidi="ar"/>
                    </w:rPr>
                    <w:t>（工业用地）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FF0000"/>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420"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6.0000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6.0000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21</w:t>
                  </w:r>
                </w:p>
              </w:tc>
              <w:tc>
                <w:tcPr>
                  <w:tcW w:w="948" w:type="dxa"/>
                  <w:vMerge w:val="restart"/>
                  <w:tcBorders>
                    <w:top w:val="nil"/>
                    <w:left w:val="single" w:color="auto" w:sz="4" w:space="0"/>
                    <w:bottom w:val="single" w:color="000000"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解放区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市人民中学东南角，都市花园小区内</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0.9667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0.9667</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公共管理与公共服务用地（科教用地）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4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22</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市道清小学南侧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0.6667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0.6667</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公共管理与公共服务用地（科教用地）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22"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23</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民主路西侧、法院南侧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0.2873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0.2873</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公共管理与公共服务用地（机关团体用地）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79"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24</w:t>
                  </w:r>
                </w:p>
              </w:tc>
              <w:tc>
                <w:tcPr>
                  <w:tcW w:w="948"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解放区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新河</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25.7000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25.7000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公共管理与公共服务用地（水域用地）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420"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27.6207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25.7000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1.9207</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19"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25</w:t>
                  </w:r>
                </w:p>
              </w:tc>
              <w:tc>
                <w:tcPr>
                  <w:tcW w:w="948"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解放区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民主南路</w:t>
                  </w:r>
                  <w:r>
                    <w:rPr>
                      <w:rFonts w:hint="default" w:ascii="Times New Roman" w:hAnsi="Times New Roman" w:eastAsia="宋体" w:cs="Times New Roman"/>
                      <w:color w:val="333333"/>
                      <w:kern w:val="0"/>
                      <w:sz w:val="18"/>
                      <w:szCs w:val="18"/>
                      <w:lang w:val="en-US" w:eastAsia="zh-CN" w:bidi="ar"/>
                    </w:rPr>
                    <w:t>-</w:t>
                  </w:r>
                  <w:r>
                    <w:rPr>
                      <w:rFonts w:hint="eastAsia" w:ascii="宋体" w:hAnsi="宋体" w:eastAsia="宋体" w:cs="宋体"/>
                      <w:color w:val="333333"/>
                      <w:kern w:val="0"/>
                      <w:sz w:val="18"/>
                      <w:szCs w:val="18"/>
                      <w:lang w:val="en-US" w:eastAsia="zh-CN" w:bidi="ar"/>
                    </w:rPr>
                    <w:t>迎宾路</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7.6320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7.6320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交通运输用地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（新河商务区道路）</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40"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7.6320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7.6320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40"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合计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89.8547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55.1534</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FF0000"/>
                      <w:kern w:val="0"/>
                      <w:sz w:val="18"/>
                      <w:szCs w:val="18"/>
                      <w:lang w:val="en-US" w:eastAsia="zh-CN" w:bidi="ar"/>
                    </w:rPr>
                    <w:t>34.7013</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4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26</w:t>
                  </w:r>
                </w:p>
              </w:tc>
              <w:tc>
                <w:tcPr>
                  <w:tcW w:w="948"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中站区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丰收路北侧、经三路西侧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0.3407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0.3407</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商服用地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（加气站用地）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499"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0.3407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0.3407</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27</w:t>
                  </w:r>
                </w:p>
              </w:tc>
              <w:tc>
                <w:tcPr>
                  <w:tcW w:w="948" w:type="dxa"/>
                  <w:vMerge w:val="restart"/>
                  <w:tcBorders>
                    <w:top w:val="nil"/>
                    <w:left w:val="single" w:color="auto" w:sz="4" w:space="0"/>
                    <w:bottom w:val="single" w:color="000000"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中站区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王封办事处北侧、云台小区南侧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1.6787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1.6787</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（棚户区改造）</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28</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焦克路北侧、和美小区南侧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3.0000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3.0000</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59"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29</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怡光路东侧、焦克路北侧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8.0000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5.3333</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2.6667</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82"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12.6787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5.3333</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7.3454</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59"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30</w:t>
                  </w:r>
                </w:p>
              </w:tc>
              <w:tc>
                <w:tcPr>
                  <w:tcW w:w="948" w:type="dxa"/>
                  <w:vMerge w:val="restart"/>
                  <w:tcBorders>
                    <w:top w:val="nil"/>
                    <w:left w:val="single" w:color="auto" w:sz="4" w:space="0"/>
                    <w:bottom w:val="single" w:color="000000"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中站区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影视路北侧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13.3333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13.3333</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住宅用地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（安置保障房）</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72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31</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焦克路北侧、瑞丰路两侧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9.4580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9.4580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住宅用地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（安置保障房）</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420"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22.7913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22.7913</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702"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32</w:t>
                  </w:r>
                </w:p>
              </w:tc>
              <w:tc>
                <w:tcPr>
                  <w:tcW w:w="948" w:type="dxa"/>
                  <w:vMerge w:val="restart"/>
                  <w:tcBorders>
                    <w:top w:val="nil"/>
                    <w:left w:val="single" w:color="auto" w:sz="4" w:space="0"/>
                    <w:bottom w:val="single" w:color="000000"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中站区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焦晋高速西侧、焦克路南侧、经三路东侧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53.3333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53.3333</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工矿仓储用地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（工业用地）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33</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焦克路南侧、经二路西侧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6.0820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6.0820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工矿仓储用地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（工业用地）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82"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34</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焦克路南侧、鑫诚一期西侧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5.0120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5.0120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工矿仓储用地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（工业用地）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6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35</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经三路西侧、新月铁路北侧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5.8073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5.8073</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工矿仓储用地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（工业用地）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79"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36</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经三路西侧、新克路北侧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2.0947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2.0947</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工矿仓储用地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（工业用地）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270"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72.3293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72.3293</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59"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37</w:t>
                  </w:r>
                </w:p>
              </w:tc>
              <w:tc>
                <w:tcPr>
                  <w:tcW w:w="948"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中站区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怡光路东侧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1.5393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1.5393</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公共管理与公共服务用地（消防用地）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270"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1.5393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1.5393</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42"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38</w:t>
                  </w:r>
                </w:p>
              </w:tc>
              <w:tc>
                <w:tcPr>
                  <w:tcW w:w="948"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中站区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经三路至经五路</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2.6967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2.6967</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交通运输用地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（道路）</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15"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2.6967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2.6967</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15"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合计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112.3760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105.0306</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7.3454</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79"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39</w:t>
                  </w:r>
                </w:p>
              </w:tc>
              <w:tc>
                <w:tcPr>
                  <w:tcW w:w="948"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马村区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人民路南侧、文昌路西侧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10.6000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10.6000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商服用地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（商业设施用地）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420"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10.6000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10.6000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40</w:t>
                  </w:r>
                </w:p>
              </w:tc>
              <w:tc>
                <w:tcPr>
                  <w:tcW w:w="948"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马村区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建兴路北侧、马村办事处西侧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4.3333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4.3333</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59"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4.3333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4.3333</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FF0000"/>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82"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41</w:t>
                  </w:r>
                </w:p>
              </w:tc>
              <w:tc>
                <w:tcPr>
                  <w:tcW w:w="948"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马村区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待九路东西两侧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10.0000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10.0000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工矿仓储用地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（工业用地）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30"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10.0000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10.0000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739"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42</w:t>
                  </w:r>
                </w:p>
              </w:tc>
              <w:tc>
                <w:tcPr>
                  <w:tcW w:w="948" w:type="dxa"/>
                  <w:vMerge w:val="restart"/>
                  <w:tcBorders>
                    <w:top w:val="nil"/>
                    <w:left w:val="single" w:color="auto" w:sz="4" w:space="0"/>
                    <w:bottom w:val="single" w:color="000000"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马村区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人民路与东经路交叉口西南侧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4.5167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4.5167</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公共管理与公共服务用地（军事用地）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702"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43</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文昌路东侧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3.0416</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3.0416</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公共管理与公共服务用地（停车场用地）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44</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建设路南侧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0.3754</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0.3754</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公共管理与公共服务用地（变电站用地）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6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45</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东经路西侧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10.0000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10.0000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公共管理与公共服务用地（科教用地）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40"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17.9337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17.9337</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59"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合计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42.8670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42.8670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19"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46</w:t>
                  </w:r>
                </w:p>
              </w:tc>
              <w:tc>
                <w:tcPr>
                  <w:tcW w:w="948" w:type="dxa"/>
                  <w:vMerge w:val="restart"/>
                  <w:tcBorders>
                    <w:top w:val="nil"/>
                    <w:left w:val="single" w:color="auto" w:sz="4" w:space="0"/>
                    <w:bottom w:val="single" w:color="000000"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山阳区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瓮涧河西、亿祥置业西北</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0.7385</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0.7385</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商服用地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（批发零售用地）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19"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47</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焦辉路南、东苑路西侧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0.9000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0.9000</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商服用地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（批发零售用地）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270"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1.6385</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0.7385</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0.9000</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48</w:t>
                  </w:r>
                </w:p>
              </w:tc>
              <w:tc>
                <w:tcPr>
                  <w:tcW w:w="948" w:type="dxa"/>
                  <w:vMerge w:val="restart"/>
                  <w:tcBorders>
                    <w:top w:val="nil"/>
                    <w:left w:val="single" w:color="auto" w:sz="4" w:space="0"/>
                    <w:bottom w:val="single" w:color="000000"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山阳区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人民路北、西经大道两侧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10.0000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10.0000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499"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49</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人民路南侧、文汇路东侧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12.4099</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12.4099</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50</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焦东路东侧、中海丽江南侧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3.6415</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3.6415</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商住用地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（城中村改造）</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270"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26.0514</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26.0514</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84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51</w:t>
                  </w:r>
                </w:p>
              </w:tc>
              <w:tc>
                <w:tcPr>
                  <w:tcW w:w="948" w:type="dxa"/>
                  <w:vMerge w:val="restart"/>
                  <w:tcBorders>
                    <w:top w:val="nil"/>
                    <w:left w:val="single" w:color="auto" w:sz="4" w:space="0"/>
                    <w:bottom w:val="single" w:color="000000"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山阳区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文汇路东、海关北</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9.6667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9.6667</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住宅用地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（南水北调安置房）</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6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52</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人民路北、亿祥置业西北</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1.0310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1.0310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住宅用地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（南水北调安置房）</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82"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53</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塔南路东、新月铁路北</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1.3333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1.3333</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住宅用地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（棚户区改造）</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4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54</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人民路北侧、文林路东侧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4.0642</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4.0642</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住宅用地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（商品房）</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55</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丰收路南侧、塔南路西侧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2.0633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2.0633</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住宅用地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（南水北调安置保障房）</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56</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工业东路南侧、东苑路东</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2.7016</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2.7016</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住宅用地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（南水北调安置保障房）</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19"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57</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塔南路东侧、新月铁路南侧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1.8000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1.8000</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住宅用地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（南水北调安置保障房）</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45"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22.6601</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19.5268</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3.1333</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702" w:hRule="atLeast"/>
                <w:jc w:val="center"/>
              </w:trPr>
              <w:tc>
                <w:tcPr>
                  <w:tcW w:w="394" w:type="dxa"/>
                  <w:tcBorders>
                    <w:top w:val="nil"/>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58</w:t>
                  </w:r>
                </w:p>
              </w:tc>
              <w:tc>
                <w:tcPr>
                  <w:tcW w:w="948" w:type="dxa"/>
                  <w:vMerge w:val="restart"/>
                  <w:tcBorders>
                    <w:top w:val="nil"/>
                    <w:left w:val="nil"/>
                    <w:bottom w:val="single" w:color="000000"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山阳区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规划十五路西、六路南</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0.6928</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0.6928</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公共管理与公共服务用地（变电站用地）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jc w:val="center"/>
              </w:trPr>
              <w:tc>
                <w:tcPr>
                  <w:tcW w:w="394" w:type="dxa"/>
                  <w:tcBorders>
                    <w:top w:val="nil"/>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59</w:t>
                  </w:r>
                </w:p>
              </w:tc>
              <w:tc>
                <w:tcPr>
                  <w:tcW w:w="948" w:type="dxa"/>
                  <w:vMerge w:val="continue"/>
                  <w:tcBorders>
                    <w:top w:val="nil"/>
                    <w:left w:val="nil"/>
                    <w:bottom w:val="single" w:color="000000" w:sz="4" w:space="0"/>
                    <w:right w:val="nil"/>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西径大道东、兴周路北</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3.0000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3.0000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公共管理与公共服务用地（科教用地）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出让</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60" w:hRule="atLeast"/>
                <w:jc w:val="center"/>
              </w:trPr>
              <w:tc>
                <w:tcPr>
                  <w:tcW w:w="394" w:type="dxa"/>
                  <w:tcBorders>
                    <w:top w:val="nil"/>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60</w:t>
                  </w:r>
                </w:p>
              </w:tc>
              <w:tc>
                <w:tcPr>
                  <w:tcW w:w="948" w:type="dxa"/>
                  <w:vMerge w:val="continue"/>
                  <w:tcBorders>
                    <w:top w:val="nil"/>
                    <w:left w:val="nil"/>
                    <w:bottom w:val="single" w:color="000000" w:sz="4" w:space="0"/>
                    <w:right w:val="nil"/>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山阳路东侧、凤凰小区南</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0.6000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0.6000</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公共管理与公共服务用地（消防用地）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60" w:hRule="atLeast"/>
                <w:jc w:val="center"/>
              </w:trPr>
              <w:tc>
                <w:tcPr>
                  <w:tcW w:w="394" w:type="dxa"/>
                  <w:tcBorders>
                    <w:top w:val="nil"/>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61</w:t>
                  </w:r>
                </w:p>
              </w:tc>
              <w:tc>
                <w:tcPr>
                  <w:tcW w:w="948" w:type="dxa"/>
                  <w:vMerge w:val="continue"/>
                  <w:tcBorders>
                    <w:top w:val="nil"/>
                    <w:left w:val="nil"/>
                    <w:bottom w:val="single" w:color="000000" w:sz="4" w:space="0"/>
                    <w:right w:val="nil"/>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人民路北、文丰路西侧</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2.0200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2.0200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公共管理与公共服务用地（城市供暖用地）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出让</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60" w:hRule="atLeast"/>
                <w:jc w:val="center"/>
              </w:trPr>
              <w:tc>
                <w:tcPr>
                  <w:tcW w:w="394" w:type="dxa"/>
                  <w:tcBorders>
                    <w:top w:val="nil"/>
                    <w:left w:val="single" w:color="auto" w:sz="4" w:space="0"/>
                    <w:bottom w:val="single" w:color="auto" w:sz="4" w:space="0"/>
                    <w:right w:val="nil"/>
                  </w:tcBorders>
                  <w:shd w:val="clear" w:color="auto" w:fill="FFFF00"/>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FF0000"/>
                      <w:kern w:val="0"/>
                      <w:sz w:val="18"/>
                      <w:szCs w:val="18"/>
                      <w:lang w:val="en-US" w:eastAsia="zh-CN" w:bidi="ar"/>
                    </w:rPr>
                    <w:t>　</w:t>
                  </w:r>
                </w:p>
              </w:tc>
              <w:tc>
                <w:tcPr>
                  <w:tcW w:w="948" w:type="dxa"/>
                  <w:vMerge w:val="continue"/>
                  <w:tcBorders>
                    <w:top w:val="nil"/>
                    <w:left w:val="nil"/>
                    <w:bottom w:val="single" w:color="000000" w:sz="4" w:space="0"/>
                    <w:right w:val="nil"/>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color="auto" w:fill="FFFF00"/>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FF0000"/>
                      <w:kern w:val="0"/>
                      <w:sz w:val="18"/>
                      <w:szCs w:val="18"/>
                      <w:lang w:val="en-US" w:eastAsia="zh-CN" w:bidi="ar"/>
                    </w:rPr>
                    <w:t>新丰二街西侧、丰收路北（（联通公司地块）</w:t>
                  </w:r>
                </w:p>
              </w:tc>
              <w:tc>
                <w:tcPr>
                  <w:tcW w:w="867" w:type="dxa"/>
                  <w:tcBorders>
                    <w:top w:val="nil"/>
                    <w:left w:val="nil"/>
                    <w:bottom w:val="single" w:color="auto" w:sz="4" w:space="0"/>
                    <w:right w:val="single" w:color="auto" w:sz="4" w:space="0"/>
                  </w:tcBorders>
                  <w:shd w:val="clear" w:color="auto" w:fill="FFFF00"/>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FF0000"/>
                      <w:kern w:val="0"/>
                      <w:sz w:val="18"/>
                      <w:szCs w:val="18"/>
                      <w:lang w:val="en-US" w:eastAsia="zh-CN" w:bidi="ar"/>
                    </w:rPr>
                    <w:t>0.4300</w:t>
                  </w:r>
                </w:p>
              </w:tc>
              <w:tc>
                <w:tcPr>
                  <w:tcW w:w="904" w:type="dxa"/>
                  <w:tcBorders>
                    <w:top w:val="nil"/>
                    <w:left w:val="nil"/>
                    <w:bottom w:val="single" w:color="auto" w:sz="4" w:space="0"/>
                    <w:right w:val="single" w:color="auto" w:sz="4" w:space="0"/>
                  </w:tcBorders>
                  <w:shd w:val="clear" w:color="auto" w:fill="FFFF00"/>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FF0000"/>
                      <w:kern w:val="0"/>
                      <w:sz w:val="18"/>
                      <w:szCs w:val="18"/>
                      <w:lang w:val="en-US" w:eastAsia="zh-CN" w:bidi="ar"/>
                    </w:rPr>
                    <w:t>　</w:t>
                  </w:r>
                </w:p>
              </w:tc>
              <w:tc>
                <w:tcPr>
                  <w:tcW w:w="894" w:type="dxa"/>
                  <w:tcBorders>
                    <w:top w:val="nil"/>
                    <w:left w:val="nil"/>
                    <w:bottom w:val="single" w:color="auto" w:sz="4" w:space="0"/>
                    <w:right w:val="single" w:color="auto" w:sz="4" w:space="0"/>
                  </w:tcBorders>
                  <w:shd w:val="clear" w:color="auto" w:fill="FFFF00"/>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FF0000"/>
                      <w:kern w:val="0"/>
                      <w:sz w:val="18"/>
                      <w:szCs w:val="18"/>
                      <w:lang w:val="en-US" w:eastAsia="zh-CN" w:bidi="ar"/>
                    </w:rPr>
                    <w:t>0.4300</w:t>
                  </w:r>
                </w:p>
              </w:tc>
              <w:tc>
                <w:tcPr>
                  <w:tcW w:w="1485" w:type="dxa"/>
                  <w:tcBorders>
                    <w:top w:val="nil"/>
                    <w:left w:val="nil"/>
                    <w:bottom w:val="single" w:color="auto" w:sz="4" w:space="0"/>
                    <w:right w:val="single" w:color="auto" w:sz="4" w:space="0"/>
                  </w:tcBorders>
                  <w:shd w:val="clear" w:color="auto" w:fill="FFFF00"/>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FF0000"/>
                      <w:kern w:val="0"/>
                      <w:sz w:val="18"/>
                      <w:szCs w:val="18"/>
                      <w:lang w:val="en-US" w:eastAsia="zh-CN" w:bidi="ar"/>
                    </w:rPr>
                    <w:t>商务金融</w:t>
                  </w:r>
                </w:p>
              </w:tc>
              <w:tc>
                <w:tcPr>
                  <w:tcW w:w="504" w:type="dxa"/>
                  <w:tcBorders>
                    <w:top w:val="nil"/>
                    <w:left w:val="nil"/>
                    <w:bottom w:val="single" w:color="auto" w:sz="4" w:space="0"/>
                    <w:right w:val="single" w:color="auto" w:sz="4" w:space="0"/>
                  </w:tcBorders>
                  <w:shd w:val="clear" w:color="auto" w:fill="FFFF00"/>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FF0000"/>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22"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6.3128</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5.7128</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0.6000</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499"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62</w:t>
                  </w:r>
                </w:p>
              </w:tc>
              <w:tc>
                <w:tcPr>
                  <w:tcW w:w="948"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山阳区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苏蔺、墙南、新河农场</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15.0000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15.0000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特殊用地（监狱）</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59"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15.0000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15.0000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499"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合计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71.6628</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67.0295</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4.6333</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63</w:t>
                  </w:r>
                </w:p>
              </w:tc>
              <w:tc>
                <w:tcPr>
                  <w:tcW w:w="948"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焦作市城乡一体化示范区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民主路东、斯达自控北</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2.0183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2.0183</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商服用地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（加气站用地）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480"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2.0183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2.0183</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6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64</w:t>
                  </w:r>
                </w:p>
              </w:tc>
              <w:tc>
                <w:tcPr>
                  <w:tcW w:w="948"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焦作市城乡一体化示范区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神州路南、中原路东</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7.8973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7.8973</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工矿仓储用地</w:t>
                  </w:r>
                  <w:r>
                    <w:rPr>
                      <w:rFonts w:hint="eastAsia" w:ascii="宋体" w:hAnsi="宋体" w:eastAsia="宋体" w:cs="宋体"/>
                      <w:color w:val="333333"/>
                      <w:kern w:val="0"/>
                      <w:sz w:val="18"/>
                      <w:szCs w:val="18"/>
                      <w:lang w:val="en-US" w:eastAsia="zh-CN" w:bidi="ar"/>
                    </w:rPr>
                    <w:br w:type="textWrapping"/>
                  </w:r>
                  <w:r>
                    <w:rPr>
                      <w:rFonts w:hint="eastAsia" w:ascii="宋体" w:hAnsi="宋体" w:eastAsia="宋体" w:cs="宋体"/>
                      <w:color w:val="333333"/>
                      <w:kern w:val="0"/>
                      <w:sz w:val="18"/>
                      <w:szCs w:val="18"/>
                      <w:lang w:val="en-US" w:eastAsia="zh-CN" w:bidi="ar"/>
                    </w:rPr>
                    <w:t>（工业用地）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挂牌</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462"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7.8973</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7.8973</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19"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65</w:t>
                  </w:r>
                </w:p>
              </w:tc>
              <w:tc>
                <w:tcPr>
                  <w:tcW w:w="948" w:type="dxa"/>
                  <w:vMerge w:val="restart"/>
                  <w:tcBorders>
                    <w:top w:val="nil"/>
                    <w:left w:val="single" w:color="auto" w:sz="4" w:space="0"/>
                    <w:bottom w:val="single" w:color="000000"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焦作市城乡一体化示范区</w:t>
                  </w: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紫荆大道以南、中原路以东</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4.8680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4.8680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公共管理与公共服务用地（交通场站用地）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72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66</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西经大道以东、文博路以南</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4.9500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4.9500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公共管理与公共服务用地（社会福利用地）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67</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神州路南、怀府路西</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1.3200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1.3200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公共管理与公共服务用地（行政办公用地）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559"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68</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丰收路以南、西经大道以西</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30.0000</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30.0000</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公共管理与公共服务用地（科教用地）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0" w:hRule="atLeast"/>
                <w:jc w:val="center"/>
              </w:trPr>
              <w:tc>
                <w:tcPr>
                  <w:tcW w:w="394" w:type="dxa"/>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69</w:t>
                  </w:r>
                </w:p>
              </w:tc>
              <w:tc>
                <w:tcPr>
                  <w:tcW w:w="948" w:type="dxa"/>
                  <w:vMerge w:val="continue"/>
                  <w:tcBorders>
                    <w:top w:val="nil"/>
                    <w:left w:val="single" w:color="auto" w:sz="4" w:space="0"/>
                    <w:bottom w:val="single" w:color="000000" w:sz="4" w:space="0"/>
                    <w:right w:val="single" w:color="auto" w:sz="4" w:space="0"/>
                  </w:tcBorders>
                  <w:shd w:val="clear"/>
                  <w:vAlign w:val="center"/>
                </w:tcPr>
                <w:p>
                  <w:pPr>
                    <w:rPr>
                      <w:rFonts w:hint="eastAsia" w:ascii="宋体"/>
                      <w:color w:val="333333"/>
                      <w:sz w:val="18"/>
                      <w:szCs w:val="18"/>
                    </w:rPr>
                  </w:pPr>
                </w:p>
              </w:tc>
              <w:tc>
                <w:tcPr>
                  <w:tcW w:w="1456"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文博路以北、西经大道以东</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1.5401</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1.5401</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公共管理与公共服务用地（供热用地）</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划拨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60"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小计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42.6781</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42.6781</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60"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合计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52.5937</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52.5937</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360" w:hRule="atLeast"/>
                <w:jc w:val="center"/>
              </w:trPr>
              <w:tc>
                <w:tcPr>
                  <w:tcW w:w="2798" w:type="dxa"/>
                  <w:gridSpan w:val="3"/>
                  <w:tcBorders>
                    <w:top w:val="single" w:color="auto" w:sz="4" w:space="0"/>
                    <w:left w:val="single" w:color="auto" w:sz="4" w:space="0"/>
                    <w:bottom w:val="single" w:color="auto" w:sz="4" w:space="0"/>
                    <w:right w:val="nil"/>
                  </w:tcBorders>
                  <w:shd w:val="clear"/>
                  <w:vAlign w:val="center"/>
                </w:tcPr>
                <w:p>
                  <w:pPr>
                    <w:keepNext w:val="0"/>
                    <w:keepLines w:val="0"/>
                    <w:widowControl/>
                    <w:suppressLineNumbers w:val="0"/>
                    <w:spacing w:line="270" w:lineRule="atLeast"/>
                    <w:jc w:val="left"/>
                    <w:rPr>
                      <w:color w:val="333333"/>
                      <w:sz w:val="18"/>
                      <w:szCs w:val="18"/>
                    </w:rPr>
                  </w:pPr>
                  <w:r>
                    <w:rPr>
                      <w:rFonts w:hint="eastAsia" w:ascii="宋体" w:hAnsi="宋体" w:eastAsia="宋体" w:cs="宋体"/>
                      <w:color w:val="333333"/>
                      <w:kern w:val="0"/>
                      <w:sz w:val="18"/>
                      <w:szCs w:val="18"/>
                      <w:lang w:val="en-US" w:eastAsia="zh-CN" w:bidi="ar"/>
                    </w:rPr>
                    <w:t>总计</w:t>
                  </w:r>
                </w:p>
              </w:tc>
              <w:tc>
                <w:tcPr>
                  <w:tcW w:w="867"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369.3542</w:t>
                  </w:r>
                </w:p>
              </w:tc>
              <w:tc>
                <w:tcPr>
                  <w:tcW w:w="9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322.6742</w:t>
                  </w:r>
                </w:p>
              </w:tc>
              <w:tc>
                <w:tcPr>
                  <w:tcW w:w="89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46.6800</w:t>
                  </w:r>
                </w:p>
              </w:tc>
              <w:tc>
                <w:tcPr>
                  <w:tcW w:w="1485"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c>
                <w:tcPr>
                  <w:tcW w:w="504" w:type="dxa"/>
                  <w:tcBorders>
                    <w:top w:val="nil"/>
                    <w:left w:val="nil"/>
                    <w:bottom w:val="single" w:color="auto" w:sz="4" w:space="0"/>
                    <w:right w:val="single" w:color="auto" w:sz="4" w:space="0"/>
                  </w:tcBorders>
                  <w:shd w:val="clear"/>
                  <w:vAlign w:val="center"/>
                </w:tcPr>
                <w:p>
                  <w:pPr>
                    <w:keepNext w:val="0"/>
                    <w:keepLines w:val="0"/>
                    <w:widowControl/>
                    <w:suppressLineNumbers w:val="0"/>
                    <w:spacing w:line="270" w:lineRule="atLeast"/>
                    <w:jc w:val="left"/>
                    <w:rPr>
                      <w:color w:val="333333"/>
                      <w:sz w:val="18"/>
                      <w:szCs w:val="18"/>
                    </w:rPr>
                  </w:pPr>
                  <w:r>
                    <w:rPr>
                      <w:rFonts w:hint="default" w:ascii="Times New Roman" w:hAnsi="Times New Roman" w:eastAsia="宋体" w:cs="Times New Roman"/>
                      <w:color w:val="333333"/>
                      <w:kern w:val="0"/>
                      <w:sz w:val="18"/>
                      <w:szCs w:val="18"/>
                      <w:lang w:val="en-US" w:eastAsia="zh-CN" w:bidi="ar"/>
                    </w:rPr>
                    <w:t>　</w:t>
                  </w:r>
                </w:p>
              </w:tc>
            </w:tr>
          </w:tbl>
          <w:p>
            <w:pPr>
              <w:spacing w:line="270" w:lineRule="atLeast"/>
              <w:rPr>
                <w:rFonts w:hint="eastAsia" w:ascii="宋体" w:hAnsi="宋体" w:eastAsia="宋体" w:cs="宋体"/>
                <w:caps w:val="0"/>
                <w:color w:val="000000"/>
                <w:spacing w:val="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jc w:val="center"/>
        </w:trPr>
        <w:tc>
          <w:tcPr>
            <w:tcW w:w="7500" w:type="dxa"/>
            <w:shd w:val="clear"/>
            <w:vAlign w:val="center"/>
          </w:tcPr>
          <w:p>
            <w:pPr>
              <w:rPr>
                <w:rFonts w:hint="eastAsia" w:ascii="宋体" w:hAnsi="宋体" w:eastAsia="宋体" w:cs="宋体"/>
                <w:caps w:val="0"/>
                <w:spacing w:val="0"/>
                <w:sz w:val="24"/>
                <w:szCs w:val="24"/>
              </w:rPr>
            </w:pPr>
          </w:p>
        </w:tc>
      </w:tr>
    </w:tbl>
    <w:p>
      <w:pPr>
        <w:keepNext w:val="0"/>
        <w:keepLines w:val="0"/>
        <w:widowControl/>
        <w:suppressLineNumbers w:val="0"/>
        <w:jc w:val="left"/>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F73880"/>
    <w:rsid w:val="7AF7388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2017-01-10T01:56:00Z</dcterms:created>
  <dc:creator>Administrator</dc:creator>
  <cp:lastModifiedBy>Administrator</cp:lastModifiedBy>
  <dcterms:modified xsi:type="dcterms:W3CDTF">2017-01-10T01:57:34Z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