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06" w:type="dxa"/>
        <w:jc w:val="center"/>
        <w:tblInd w:w="0" w:type="dxa"/>
        <w:shd w:val="clear" w:color="auto" w:fill="FFFFFF"/>
        <w:tblLayout w:type="fixed"/>
        <w:tblCellMar>
          <w:top w:w="15" w:type="dxa"/>
          <w:left w:w="15" w:type="dxa"/>
          <w:bottom w:w="15" w:type="dxa"/>
          <w:right w:w="15" w:type="dxa"/>
        </w:tblCellMar>
      </w:tblPr>
      <w:tblGrid>
        <w:gridCol w:w="8306"/>
      </w:tblGrid>
      <w:tr>
        <w:tblPrEx>
          <w:shd w:val="clear" w:color="auto" w:fill="FFFFFF"/>
          <w:tblLayout w:type="fixed"/>
          <w:tblCellMar>
            <w:top w:w="15" w:type="dxa"/>
            <w:left w:w="15" w:type="dxa"/>
            <w:bottom w:w="15" w:type="dxa"/>
            <w:right w:w="15" w:type="dxa"/>
          </w:tblCellMar>
        </w:tblPrEx>
        <w:trPr>
          <w:trHeight w:val="1501" w:hRule="atLeast"/>
          <w:jc w:val="center"/>
        </w:trPr>
        <w:tc>
          <w:tcPr>
            <w:tcW w:w="830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line="240" w:lineRule="atLeast"/>
              <w:ind w:left="0" w:right="0" w:firstLine="0"/>
              <w:jc w:val="center"/>
              <w:rPr>
                <w:rFonts w:hint="eastAsia" w:ascii="宋体" w:hAnsi="宋体" w:eastAsia="宋体" w:cs="宋体"/>
                <w:b w:val="0"/>
                <w:i w:val="0"/>
                <w:caps w:val="0"/>
                <w:color w:val="000000"/>
                <w:spacing w:val="0"/>
                <w:sz w:val="19"/>
                <w:szCs w:val="19"/>
              </w:rPr>
            </w:pPr>
            <w:r>
              <w:rPr>
                <w:rFonts w:ascii="微软雅黑" w:hAnsi="微软雅黑" w:eastAsia="微软雅黑" w:cs="微软雅黑"/>
                <w:b/>
                <w:i w:val="0"/>
                <w:caps w:val="0"/>
                <w:color w:val="000000"/>
                <w:spacing w:val="0"/>
                <w:kern w:val="0"/>
                <w:sz w:val="33"/>
                <w:szCs w:val="33"/>
                <w:bdr w:val="none" w:color="auto" w:sz="0" w:space="0"/>
                <w:lang w:val="en-US" w:eastAsia="zh-CN" w:bidi="ar"/>
              </w:rPr>
              <w:t>焦作市JGT2016-5号国有建设用地使用权网上挂牌出让公告</w:t>
            </w:r>
          </w:p>
        </w:tc>
      </w:tr>
      <w:tr>
        <w:tblPrEx>
          <w:shd w:val="clear" w:color="auto" w:fill="FFFFFF"/>
          <w:tblLayout w:type="fixed"/>
          <w:tblCellMar>
            <w:top w:w="15" w:type="dxa"/>
            <w:left w:w="15" w:type="dxa"/>
            <w:bottom w:w="15" w:type="dxa"/>
            <w:right w:w="15" w:type="dxa"/>
          </w:tblCellMar>
        </w:tblPrEx>
        <w:trPr>
          <w:jc w:val="center"/>
        </w:trPr>
        <w:tc>
          <w:tcPr>
            <w:tcW w:w="8306" w:type="dxa"/>
            <w:shd w:val="clear" w:color="auto" w:fill="FFFFFF"/>
            <w:tcMar>
              <w:top w:w="0" w:type="dxa"/>
              <w:left w:w="0" w:type="dxa"/>
              <w:bottom w:w="0" w:type="dxa"/>
              <w:right w:w="0" w:type="dxa"/>
            </w:tcMar>
            <w:vAlign w:val="center"/>
          </w:tcPr>
          <w:p>
            <w:pPr>
              <w:keepNext w:val="0"/>
              <w:keepLines w:val="0"/>
              <w:widowControl/>
              <w:suppressLineNumbers w:val="0"/>
              <w:spacing w:before="0" w:beforeAutospacing="0" w:after="0" w:afterAutospacing="0" w:line="240" w:lineRule="atLeast"/>
              <w:ind w:left="0" w:right="0" w:firstLine="0"/>
              <w:jc w:val="center"/>
              <w:rPr>
                <w:rFonts w:hint="eastAsia" w:ascii="宋体" w:hAnsi="宋体" w:eastAsia="宋体" w:cs="宋体"/>
                <w:b w:val="0"/>
                <w:i w:val="0"/>
                <w:caps w:val="0"/>
                <w:color w:val="000000"/>
                <w:spacing w:val="0"/>
                <w:sz w:val="19"/>
                <w:szCs w:val="19"/>
              </w:rPr>
            </w:pPr>
            <w:r>
              <w:rPr>
                <w:rFonts w:hint="eastAsia" w:ascii="宋体" w:hAnsi="宋体" w:eastAsia="宋体" w:cs="宋体"/>
                <w:b w:val="0"/>
                <w:i w:val="0"/>
                <w:caps w:val="0"/>
                <w:color w:val="888888"/>
                <w:spacing w:val="0"/>
                <w:kern w:val="0"/>
                <w:sz w:val="19"/>
                <w:szCs w:val="19"/>
                <w:bdr w:val="none" w:color="auto" w:sz="0" w:space="0"/>
                <w:lang w:val="en-US" w:eastAsia="zh-CN" w:bidi="ar"/>
              </w:rPr>
              <w:t>【信息时间：2016/11/21  阅读次数：493】</w: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begin"/>
            </w:r>
            <w:r>
              <w:rPr>
                <w:rFonts w:hint="eastAsia" w:ascii="宋体" w:hAnsi="宋体" w:eastAsia="宋体" w:cs="宋体"/>
                <w:b w:val="0"/>
                <w:i w:val="0"/>
                <w:caps w:val="0"/>
                <w:color w:val="333333"/>
                <w:spacing w:val="0"/>
                <w:kern w:val="0"/>
                <w:sz w:val="19"/>
                <w:szCs w:val="19"/>
                <w:u w:val="none"/>
                <w:bdr w:val="none" w:color="auto" w:sz="0" w:space="0"/>
                <w:lang w:val="en-US" w:eastAsia="zh-CN" w:bidi="ar"/>
              </w:rPr>
              <w:instrText xml:space="preserve"> HYPERLINK "http://www.jzggzy.cn/TPFront/InfoDetail/javascript:void(0)" </w:instrTex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separate"/>
            </w:r>
            <w:r>
              <w:rPr>
                <w:rStyle w:val="4"/>
                <w:rFonts w:hint="eastAsia" w:ascii="宋体" w:hAnsi="宋体" w:eastAsia="宋体" w:cs="宋体"/>
                <w:b w:val="0"/>
                <w:i w:val="0"/>
                <w:caps w:val="0"/>
                <w:color w:val="000000"/>
                <w:spacing w:val="0"/>
                <w:sz w:val="19"/>
                <w:szCs w:val="19"/>
                <w:u w:val="none"/>
                <w:bdr w:val="none" w:color="auto" w:sz="0" w:space="0"/>
              </w:rPr>
              <w:t>【我要打印】</w: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end"/>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begin"/>
            </w:r>
            <w:r>
              <w:rPr>
                <w:rFonts w:hint="eastAsia" w:ascii="宋体" w:hAnsi="宋体" w:eastAsia="宋体" w:cs="宋体"/>
                <w:b w:val="0"/>
                <w:i w:val="0"/>
                <w:caps w:val="0"/>
                <w:color w:val="333333"/>
                <w:spacing w:val="0"/>
                <w:kern w:val="0"/>
                <w:sz w:val="19"/>
                <w:szCs w:val="19"/>
                <w:u w:val="none"/>
                <w:bdr w:val="none" w:color="auto" w:sz="0" w:space="0"/>
                <w:lang w:val="en-US" w:eastAsia="zh-CN" w:bidi="ar"/>
              </w:rPr>
              <w:instrText xml:space="preserve"> HYPERLINK "http://www.jzggzy.cn/TPFront/InfoDetail/javascript:window.close()" </w:instrTex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separate"/>
            </w:r>
            <w:r>
              <w:rPr>
                <w:rStyle w:val="4"/>
                <w:rFonts w:hint="eastAsia" w:ascii="宋体" w:hAnsi="宋体" w:eastAsia="宋体" w:cs="宋体"/>
                <w:b w:val="0"/>
                <w:i w:val="0"/>
                <w:caps w:val="0"/>
                <w:color w:val="000000"/>
                <w:spacing w:val="0"/>
                <w:sz w:val="19"/>
                <w:szCs w:val="19"/>
                <w:u w:val="none"/>
                <w:bdr w:val="none" w:color="auto" w:sz="0" w:space="0"/>
              </w:rPr>
              <w:t>【关闭】</w:t>
            </w:r>
            <w:r>
              <w:rPr>
                <w:rFonts w:hint="eastAsia" w:ascii="宋体" w:hAnsi="宋体" w:eastAsia="宋体" w:cs="宋体"/>
                <w:b w:val="0"/>
                <w:i w:val="0"/>
                <w:caps w:val="0"/>
                <w:color w:val="333333"/>
                <w:spacing w:val="0"/>
                <w:kern w:val="0"/>
                <w:sz w:val="19"/>
                <w:szCs w:val="19"/>
                <w:u w:val="none"/>
                <w:bdr w:val="none" w:color="auto" w:sz="0" w:space="0"/>
                <w:lang w:val="en-US" w:eastAsia="zh-CN" w:bidi="ar"/>
              </w:rPr>
              <w:fldChar w:fldCharType="end"/>
            </w:r>
          </w:p>
        </w:tc>
      </w:tr>
      <w:tr>
        <w:tblPrEx>
          <w:shd w:val="clear" w:color="auto" w:fill="FFFFFF"/>
          <w:tblLayout w:type="fixed"/>
          <w:tblCellMar>
            <w:top w:w="15" w:type="dxa"/>
            <w:left w:w="15" w:type="dxa"/>
            <w:bottom w:w="15" w:type="dxa"/>
            <w:right w:w="15" w:type="dxa"/>
          </w:tblCellMar>
        </w:tblPrEx>
        <w:trPr>
          <w:trHeight w:val="151" w:hRule="atLeast"/>
          <w:jc w:val="center"/>
        </w:trPr>
        <w:tc>
          <w:tcPr>
            <w:tcW w:w="8306" w:type="dxa"/>
            <w:shd w:val="clear" w:color="auto" w:fill="FFFFFF"/>
            <w:tcMar>
              <w:top w:w="0" w:type="dxa"/>
              <w:left w:w="0" w:type="dxa"/>
              <w:bottom w:w="0" w:type="dxa"/>
              <w:right w:w="0" w:type="dxa"/>
            </w:tcMar>
            <w:vAlign w:val="center"/>
          </w:tcPr>
          <w:p>
            <w:pPr>
              <w:rPr>
                <w:rFonts w:hint="eastAsia" w:ascii="宋体" w:hAnsi="宋体" w:eastAsia="宋体" w:cs="宋体"/>
                <w:b w:val="0"/>
                <w:i w:val="0"/>
                <w:caps w:val="0"/>
                <w:color w:val="000000"/>
                <w:spacing w:val="0"/>
                <w:sz w:val="19"/>
                <w:szCs w:val="19"/>
              </w:rPr>
            </w:pPr>
          </w:p>
        </w:tc>
      </w:tr>
      <w:tr>
        <w:tblPrEx>
          <w:shd w:val="clear" w:color="auto" w:fill="FFFFFF"/>
          <w:tblLayout w:type="fixed"/>
          <w:tblCellMar>
            <w:top w:w="15" w:type="dxa"/>
            <w:left w:w="15" w:type="dxa"/>
            <w:bottom w:w="15" w:type="dxa"/>
            <w:right w:w="15" w:type="dxa"/>
          </w:tblCellMar>
        </w:tblPrEx>
        <w:trPr>
          <w:trHeight w:val="4501" w:hRule="atLeast"/>
          <w:jc w:val="center"/>
        </w:trPr>
        <w:tc>
          <w:tcPr>
            <w:tcW w:w="8306" w:type="dxa"/>
            <w:shd w:val="clear" w:color="auto" w:fill="FFFFFF"/>
            <w:tcMar>
              <w:top w:w="0" w:type="dxa"/>
              <w:left w:w="0" w:type="dxa"/>
              <w:bottom w:w="0" w:type="dxa"/>
              <w:right w:w="0"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8" w:lineRule="atLeast"/>
              <w:ind w:left="0" w:right="0"/>
              <w:jc w:val="center"/>
              <w:rPr>
                <w:rFonts w:hint="default" w:ascii="Times New Roman" w:hAnsi="Times New Roman" w:cs="Times New Roman"/>
                <w:sz w:val="21"/>
                <w:szCs w:val="21"/>
              </w:rPr>
            </w:pPr>
            <w:r>
              <w:rPr>
                <w:rFonts w:ascii="仿宋_GB2312" w:hAnsi="Times New Roman" w:eastAsia="仿宋_GB2312" w:cs="仿宋_GB2312"/>
                <w:b w:val="0"/>
                <w:i w:val="0"/>
                <w:caps w:val="0"/>
                <w:color w:val="000000"/>
                <w:spacing w:val="0"/>
                <w:sz w:val="30"/>
                <w:szCs w:val="30"/>
                <w:bdr w:val="none" w:color="auto" w:sz="0" w:space="0"/>
              </w:rPr>
              <w:t>焦国土网挂【</w:t>
            </w:r>
            <w:r>
              <w:rPr>
                <w:rFonts w:hint="eastAsia" w:ascii="仿宋_GB2312" w:hAnsi="Times New Roman" w:eastAsia="仿宋_GB2312" w:cs="仿宋_GB2312"/>
                <w:b w:val="0"/>
                <w:i w:val="0"/>
                <w:caps w:val="0"/>
                <w:color w:val="000000"/>
                <w:spacing w:val="0"/>
                <w:sz w:val="30"/>
                <w:szCs w:val="30"/>
                <w:bdr w:val="none" w:color="auto" w:sz="0" w:space="0"/>
              </w:rPr>
              <w:t>2016】6号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1212"/>
              <w:jc w:val="both"/>
              <w:rPr>
                <w:rFonts w:hint="default" w:ascii="Times New Roman" w:hAnsi="Times New Roman" w:cs="Times New Roman"/>
                <w:sz w:val="21"/>
                <w:szCs w:val="21"/>
              </w:rPr>
            </w:pPr>
            <w:r>
              <w:rPr>
                <w:rFonts w:hint="default" w:ascii="Times New Roman" w:hAnsi="Times New Roman" w:eastAsia="宋体" w:cs="Times New Roman"/>
                <w:b w:val="0"/>
                <w:i w:val="0"/>
                <w:caps w:val="0"/>
                <w:color w:val="000000"/>
                <w:spacing w:val="0"/>
                <w:sz w:val="21"/>
                <w:szCs w:val="2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经焦作市人民政府批准，焦作市国土资源局决定以网上挂牌方式出让一宗国有建设用地使用权，并委</w:t>
            </w:r>
            <w:bookmarkStart w:id="0" w:name="_GoBack"/>
            <w:bookmarkEnd w:id="0"/>
            <w:r>
              <w:rPr>
                <w:rFonts w:hint="eastAsia" w:ascii="仿宋_GB2312" w:hAnsi="Times New Roman" w:eastAsia="仿宋_GB2312" w:cs="仿宋_GB2312"/>
                <w:b w:val="0"/>
                <w:i w:val="0"/>
                <w:caps w:val="0"/>
                <w:color w:val="000000"/>
                <w:spacing w:val="0"/>
                <w:sz w:val="30"/>
                <w:szCs w:val="30"/>
                <w:bdr w:val="none" w:color="auto" w:sz="0" w:space="0"/>
              </w:rPr>
              <w:t>托焦作市公共资源交易中心具体承办，现将有关事项公告如下：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shd w:val="clear" w:fill="FFFFFF"/>
              </w:rPr>
              <w:t>一、出让宗地基本情况：</w:t>
            </w:r>
          </w:p>
          <w:tbl>
            <w:tblPr>
              <w:tblpPr w:vertAnchor="text" w:tblpXSpec="left"/>
              <w:tblW w:w="8306" w:type="dxa"/>
              <w:tblInd w:w="-2"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967"/>
              <w:gridCol w:w="1086"/>
              <w:gridCol w:w="1400"/>
              <w:gridCol w:w="469"/>
              <w:gridCol w:w="469"/>
              <w:gridCol w:w="626"/>
              <w:gridCol w:w="788"/>
              <w:gridCol w:w="636"/>
              <w:gridCol w:w="1084"/>
              <w:gridCol w:w="781"/>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rHeight w:val="1110" w:hRule="atLeast"/>
              </w:trPr>
              <w:tc>
                <w:tcPr>
                  <w:tcW w:w="967" w:type="dxa"/>
                  <w:tcBorders>
                    <w:top w:val="single" w:color="000000" w:sz="8" w:space="0"/>
                    <w:left w:val="single" w:color="000000" w:sz="8" w:space="0"/>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宗地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编号</w:t>
                  </w:r>
                </w:p>
              </w:tc>
              <w:tc>
                <w:tcPr>
                  <w:tcW w:w="1086"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土地座落</w:t>
                  </w:r>
                </w:p>
              </w:tc>
              <w:tc>
                <w:tcPr>
                  <w:tcW w:w="1400"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出让面积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（亩）</w:t>
                  </w:r>
                </w:p>
              </w:tc>
              <w:tc>
                <w:tcPr>
                  <w:tcW w:w="469"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土地用途</w:t>
                  </w:r>
                </w:p>
              </w:tc>
              <w:tc>
                <w:tcPr>
                  <w:tcW w:w="469"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年限</w:t>
                  </w:r>
                </w:p>
              </w:tc>
              <w:tc>
                <w:tcPr>
                  <w:tcW w:w="626"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容积率</w:t>
                  </w:r>
                </w:p>
              </w:tc>
              <w:tc>
                <w:tcPr>
                  <w:tcW w:w="788"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建筑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密度/系数（%）</w:t>
                  </w:r>
                </w:p>
              </w:tc>
              <w:tc>
                <w:tcPr>
                  <w:tcW w:w="636" w:type="dxa"/>
                  <w:tcBorders>
                    <w:top w:val="single" w:color="000000" w:sz="8" w:space="0"/>
                    <w:left w:val="nil"/>
                    <w:bottom w:val="single" w:color="000000" w:sz="8" w:space="0"/>
                    <w:right w:val="single" w:color="auto"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default" w:ascii="Times New Roman" w:hAnsi="Times New Roman" w:cs="Times New Roman"/>
                      <w:sz w:val="21"/>
                      <w:szCs w:val="2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绿地率（%）</w:t>
                  </w:r>
                </w:p>
              </w:tc>
              <w:tc>
                <w:tcPr>
                  <w:tcW w:w="1084"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起挂价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（万元）</w:t>
                  </w:r>
                </w:p>
              </w:tc>
              <w:tc>
                <w:tcPr>
                  <w:tcW w:w="781" w:type="dxa"/>
                  <w:tcBorders>
                    <w:top w:val="single" w:color="000000" w:sz="8" w:space="0"/>
                    <w:left w:val="nil"/>
                    <w:bottom w:val="single" w:color="000000"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竞买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保证金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1693" w:hRule="atLeast"/>
              </w:trPr>
              <w:tc>
                <w:tcPr>
                  <w:tcW w:w="967" w:type="dxa"/>
                  <w:tcBorders>
                    <w:top w:val="nil"/>
                    <w:left w:val="single" w:color="000000" w:sz="8" w:space="0"/>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JGT2016-5号</w:t>
                  </w:r>
                </w:p>
              </w:tc>
              <w:tc>
                <w:tcPr>
                  <w:tcW w:w="1086"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示范区中原路东侧、神州路南侧</w:t>
                  </w:r>
                </w:p>
              </w:tc>
              <w:tc>
                <w:tcPr>
                  <w:tcW w:w="1400"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46097平方米（合69.15亩）</w:t>
                  </w:r>
                </w:p>
              </w:tc>
              <w:tc>
                <w:tcPr>
                  <w:tcW w:w="469"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工业</w:t>
                  </w:r>
                </w:p>
              </w:tc>
              <w:tc>
                <w:tcPr>
                  <w:tcW w:w="469"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50</w:t>
                  </w:r>
                </w:p>
              </w:tc>
              <w:tc>
                <w:tcPr>
                  <w:tcW w:w="626"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＞1.2</w:t>
                  </w:r>
                </w:p>
              </w:tc>
              <w:tc>
                <w:tcPr>
                  <w:tcW w:w="788"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＞60</w:t>
                  </w:r>
                </w:p>
              </w:tc>
              <w:tc>
                <w:tcPr>
                  <w:tcW w:w="636"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≤20</w:t>
                  </w:r>
                </w:p>
              </w:tc>
              <w:tc>
                <w:tcPr>
                  <w:tcW w:w="1084"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1626</w:t>
                  </w:r>
                </w:p>
              </w:tc>
              <w:tc>
                <w:tcPr>
                  <w:tcW w:w="781" w:type="dxa"/>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1626</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Ex>
              <w:trPr>
                <w:trHeight w:val="605" w:hRule="atLeast"/>
              </w:trPr>
              <w:tc>
                <w:tcPr>
                  <w:tcW w:w="967" w:type="dxa"/>
                  <w:tcBorders>
                    <w:top w:val="nil"/>
                    <w:left w:val="single" w:color="000000" w:sz="8" w:space="0"/>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备注</w:t>
                  </w:r>
                </w:p>
              </w:tc>
              <w:tc>
                <w:tcPr>
                  <w:tcW w:w="7339" w:type="dxa"/>
                  <w:gridSpan w:val="9"/>
                  <w:tcBorders>
                    <w:top w:val="nil"/>
                    <w:left w:val="nil"/>
                    <w:bottom w:val="single" w:color="auto" w:sz="8" w:space="0"/>
                    <w:right w:val="single" w:color="000000" w:sz="8" w:space="0"/>
                  </w:tcBorders>
                  <w:shd w:val="cle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30"/>
                    <w:jc w:val="center"/>
                    <w:rPr>
                      <w:rFonts w:hint="default" w:ascii="Times New Roman" w:hAnsi="Times New Roman" w:cs="Times New Roman"/>
                      <w:sz w:val="21"/>
                      <w:szCs w:val="21"/>
                    </w:rPr>
                  </w:pPr>
                  <w:r>
                    <w:rPr>
                      <w:rFonts w:hint="eastAsia" w:ascii="仿宋_GB2312" w:hAnsi="Times New Roman" w:eastAsia="仿宋_GB2312" w:cs="仿宋_GB2312"/>
                      <w:sz w:val="21"/>
                      <w:szCs w:val="21"/>
                      <w:bdr w:val="none" w:color="auto" w:sz="0" w:space="0"/>
                    </w:rPr>
                    <w:t>工业项目所需行政办公及生活服务设施用地不得超过工业项目总用地面积的5%。</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23"/>
              <w:jc w:val="both"/>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0"/>
              <w:jc w:val="both"/>
              <w:textAlignment w:val="bottom"/>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二、中华人民共和国境内外的法人、自然人和其他组织除法律、法规另有规定外，均可申请参加竞买（但欠缴土地出让金、闲置土地、囤地炒地以及不履行国有土地使用权出让合同及存在土地其他违法违规现象的法人、自然人和其他组织，在检察机关有行贿犯罪记录的不得申请竞买）。申请人可以单独申请，也可以联合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2" w:beforeAutospacing="0" w:after="0" w:afterAutospacing="0" w:line="530" w:lineRule="atLeast"/>
              <w:ind w:left="0" w:right="-105" w:firstLine="601"/>
              <w:jc w:val="both"/>
              <w:textAlignment w:val="bottom"/>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本次国有建设用地权挂牌出让在互联网上交易，即通过焦作市国有建设用地使用权采矿权网上挂牌出让系统进行。凡办理数字证书，按要求足额交纳竞买保证金的申请人，均可参加网上挂牌出让活动。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56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三、</w:t>
            </w:r>
            <w:r>
              <w:rPr>
                <w:rFonts w:hint="eastAsia" w:ascii="仿宋_GB2312" w:hAnsi="Times New Roman" w:eastAsia="仿宋_GB2312" w:cs="仿宋_GB2312"/>
                <w:b w:val="0"/>
                <w:i w:val="0"/>
                <w:caps w:val="0"/>
                <w:color w:val="333333"/>
                <w:spacing w:val="0"/>
                <w:sz w:val="30"/>
                <w:szCs w:val="30"/>
                <w:bdr w:val="none" w:color="auto" w:sz="0" w:space="0"/>
              </w:rPr>
              <w:t>本次国有建设用地使用权网上挂牌出让仅限于网上竞价，按照价高者得的原则确定竞得人，本次国有建设用地使用权挂牌为无底价挂牌。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四、本次网上挂牌出让的详细资料和具体要求见《焦作市国有建设用地使用权采矿权网上挂牌出让管理办法》、《焦作市公共资源交易中心国有建设用地使用权出让网上挂牌出让须知》等文件，有意竞买者可登陆焦作市国有建设用地使用权采矿权网上挂牌出让系统</w:t>
            </w:r>
            <w:r>
              <w:rPr>
                <w:rFonts w:hint="eastAsia" w:ascii="仿宋_GB2312" w:hAnsi="Times New Roman" w:eastAsia="仿宋_GB2312" w:cs="仿宋_GB2312"/>
                <w:b/>
                <w:i w:val="0"/>
                <w:caps w:val="0"/>
                <w:color w:val="000000"/>
                <w:spacing w:val="0"/>
                <w:sz w:val="30"/>
                <w:szCs w:val="30"/>
                <w:bdr w:val="none" w:color="auto" w:sz="0" w:space="0"/>
              </w:rPr>
              <w:t>（http://gtjy.jzgtzy.gov.cn）</w:t>
            </w:r>
            <w:r>
              <w:rPr>
                <w:rFonts w:hint="eastAsia" w:ascii="仿宋_GB2312" w:hAnsi="Times New Roman" w:eastAsia="仿宋_GB2312" w:cs="仿宋_GB2312"/>
                <w:b w:val="0"/>
                <w:i w:val="0"/>
                <w:caps w:val="0"/>
                <w:color w:val="000000"/>
                <w:spacing w:val="0"/>
                <w:sz w:val="30"/>
                <w:szCs w:val="30"/>
                <w:bdr w:val="none" w:color="auto" w:sz="0" w:space="0"/>
              </w:rPr>
              <w:t>查询。凡是办理数字证书的申请人可于2016年12月19日17时前，在网上浏览或下载出让文件，并按上述文件规定的操作程序参加竞买。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五、本次国有建设用地使用权网上挂牌出让</w:t>
            </w:r>
            <w:r>
              <w:rPr>
                <w:rFonts w:hint="eastAsia" w:ascii="仿宋_GB2312" w:hAnsi="Times New Roman" w:eastAsia="仿宋_GB2312" w:cs="仿宋_GB2312"/>
                <w:b w:val="0"/>
                <w:i w:val="0"/>
                <w:caps w:val="0"/>
                <w:color w:val="333333"/>
                <w:spacing w:val="0"/>
                <w:sz w:val="30"/>
                <w:szCs w:val="30"/>
                <w:bdr w:val="none" w:color="auto" w:sz="0" w:space="0"/>
              </w:rPr>
              <w:t>申购时间为2016年12月8日8时至2016年12月19日17时止，</w:t>
            </w:r>
            <w:r>
              <w:rPr>
                <w:rFonts w:hint="eastAsia" w:ascii="仿宋_GB2312" w:hAnsi="Times New Roman" w:eastAsia="仿宋_GB2312" w:cs="仿宋_GB2312"/>
                <w:b w:val="0"/>
                <w:i w:val="0"/>
                <w:caps w:val="0"/>
                <w:color w:val="000000"/>
                <w:spacing w:val="0"/>
                <w:sz w:val="30"/>
                <w:szCs w:val="30"/>
                <w:bdr w:val="none" w:color="auto" w:sz="0" w:space="0"/>
              </w:rPr>
              <w:t>报价时间为：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JGT2016-5号：2016年12月8日8时起至2016年12月21日16时止；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六、</w:t>
            </w:r>
            <w:r>
              <w:rPr>
                <w:rFonts w:hint="eastAsia" w:ascii="仿宋_GB2312" w:hAnsi="Times New Roman" w:eastAsia="仿宋_GB2312" w:cs="仿宋_GB2312"/>
                <w:b w:val="0"/>
                <w:i w:val="0"/>
                <w:caps w:val="0"/>
                <w:color w:val="333333"/>
                <w:spacing w:val="0"/>
                <w:sz w:val="30"/>
                <w:szCs w:val="30"/>
                <w:bdr w:val="none" w:color="auto" w:sz="0" w:space="0"/>
              </w:rPr>
              <w:t>申请人应当在挂牌报名截止前登陆焦作市国有建设用地使用权采矿权网上挂牌出让系统，并在系统上提交竞买申请并支付保证金。保证金到帐截止时间为2016年12月19日17时。挂牌报价时间截止时，经系统询问，有竞买人表示愿意继续竞价的，系统自动进入网上限时竞价程序，通过竞价确定竞得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七、如果在参加本次网上挂牌出让活动的过程中遇到疑难问题，请及时联系，联系方式如下：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联系电话：（0391）3568876  王先生（公共资源交易中心）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         （0391）8786278  孙先生（国土局信息中心）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地    址：焦作市人民路889号阳光大厦B座焦作市公共资源交易中心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数字证书办理电话：（0391）8786299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联 系 人：孙先生、郑女士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数字证书办理地址：焦作市焦东南路3188号焦作市国土资源局A402室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八、本公告同时在其他网上发布，查询网址为：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中国土地市场网（www.landchina.com）</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焦作市国土资源局网（</w:t>
            </w:r>
            <w:r>
              <w:rPr>
                <w:rFonts w:hint="default" w:ascii="Times New Roman" w:hAnsi="Times New Roman" w:eastAsia="宋体" w:cs="Times New Roman"/>
                <w:b w:val="0"/>
                <w:i w:val="0"/>
                <w:caps w:val="0"/>
                <w:color w:val="333333"/>
                <w:spacing w:val="0"/>
                <w:sz w:val="21"/>
                <w:szCs w:val="21"/>
                <w:u w:val="none"/>
                <w:bdr w:val="none" w:color="auto" w:sz="0" w:space="0"/>
              </w:rPr>
              <w:fldChar w:fldCharType="begin"/>
            </w:r>
            <w:r>
              <w:rPr>
                <w:rFonts w:hint="default" w:ascii="Times New Roman" w:hAnsi="Times New Roman" w:eastAsia="宋体" w:cs="Times New Roman"/>
                <w:b w:val="0"/>
                <w:i w:val="0"/>
                <w:caps w:val="0"/>
                <w:color w:val="333333"/>
                <w:spacing w:val="0"/>
                <w:sz w:val="21"/>
                <w:szCs w:val="21"/>
                <w:u w:val="none"/>
                <w:bdr w:val="none" w:color="auto" w:sz="0" w:space="0"/>
              </w:rPr>
              <w:instrText xml:space="preserve"> HYPERLINK "http://www.jzgtzy.gov.cn/" </w:instrText>
            </w:r>
            <w:r>
              <w:rPr>
                <w:rFonts w:hint="default" w:ascii="Times New Roman" w:hAnsi="Times New Roman" w:eastAsia="宋体" w:cs="Times New Roman"/>
                <w:b w:val="0"/>
                <w:i w:val="0"/>
                <w:caps w:val="0"/>
                <w:color w:val="333333"/>
                <w:spacing w:val="0"/>
                <w:sz w:val="21"/>
                <w:szCs w:val="21"/>
                <w:u w:val="none"/>
                <w:bdr w:val="none" w:color="auto" w:sz="0" w:space="0"/>
              </w:rPr>
              <w:fldChar w:fldCharType="separate"/>
            </w:r>
            <w:r>
              <w:rPr>
                <w:rStyle w:val="4"/>
                <w:rFonts w:hint="eastAsia" w:ascii="仿宋_GB2312" w:hAnsi="Times New Roman" w:eastAsia="仿宋_GB2312" w:cs="仿宋_GB2312"/>
                <w:b w:val="0"/>
                <w:i w:val="0"/>
                <w:caps w:val="0"/>
                <w:color w:val="auto"/>
                <w:spacing w:val="0"/>
                <w:sz w:val="30"/>
                <w:szCs w:val="30"/>
                <w:u w:val="none"/>
                <w:bdr w:val="none" w:color="auto" w:sz="0" w:space="0"/>
              </w:rPr>
              <w:t>www.jzgtzy.gov.cn</w:t>
            </w:r>
            <w:r>
              <w:rPr>
                <w:rFonts w:hint="default" w:ascii="Times New Roman" w:hAnsi="Times New Roman" w:eastAsia="宋体" w:cs="Times New Roman"/>
                <w:b w:val="0"/>
                <w:i w:val="0"/>
                <w:caps w:val="0"/>
                <w:color w:val="333333"/>
                <w:spacing w:val="0"/>
                <w:sz w:val="21"/>
                <w:szCs w:val="21"/>
                <w:u w:val="none"/>
                <w:bdr w:val="none" w:color="auto" w:sz="0" w:space="0"/>
              </w:rPr>
              <w:fldChar w:fldCharType="end"/>
            </w:r>
            <w:r>
              <w:rPr>
                <w:rFonts w:hint="eastAsia" w:ascii="仿宋_GB2312" w:hAnsi="Times New Roman" w:eastAsia="仿宋_GB2312" w:cs="仿宋_GB2312"/>
                <w:b w:val="0"/>
                <w:i w:val="0"/>
                <w:caps w:val="0"/>
                <w:color w:val="000000"/>
                <w:spacing w:val="0"/>
                <w:sz w:val="30"/>
                <w:szCs w:val="30"/>
                <w:bdr w:val="none" w:color="auto" w:sz="0" w:space="0"/>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焦作市公共资源交易中心网站（www.jzggzy.cn）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九、本次挂牌出让情况如有变动，以中国土地市场网、焦作市国土资源局网站、焦作市公共资源交易中心网站、焦作日报上发布的变更公告为准。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38"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38" w:lineRule="atLeast"/>
              <w:ind w:left="0" w:right="0" w:firstLine="585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 焦作市国土资源局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38" w:lineRule="atLeast"/>
              <w:ind w:left="0" w:right="0" w:firstLine="60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sz w:val="30"/>
                <w:szCs w:val="30"/>
                <w:bdr w:val="none" w:color="auto" w:sz="0" w:space="0"/>
              </w:rPr>
              <w:t>                                    2016年11月18日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F52FF"/>
    <w:rsid w:val="100F52F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2017-01-09T09:04:00Z</dcterms:created>
  <dc:creator>Administrator</dc:creator>
  <cp:lastModifiedBy>Administrator</cp:lastModifiedBy>
  <dcterms:modified xsi:type="dcterms:W3CDTF">2017-01-09T09:05:19Z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