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ascii="方正小标宋简体" w:hAnsi="方正小标宋简体" w:eastAsia="方正小标宋简体" w:cs="Times New Roman"/>
          <w:sz w:val="52"/>
          <w:szCs w:val="52"/>
        </w:rPr>
      </w:pPr>
    </w:p>
    <w:p>
      <w:pPr>
        <w:jc w:val="center"/>
        <w:rPr>
          <w:rFonts w:hint="eastAsia" w:ascii="隶书" w:hAnsi="隶书" w:eastAsia="隶书" w:cs="隶书"/>
          <w:sz w:val="52"/>
          <w:szCs w:val="52"/>
          <w:lang w:eastAsia="zh-CN"/>
        </w:rPr>
      </w:pPr>
      <w:r>
        <w:rPr>
          <w:rFonts w:hint="eastAsia" w:ascii="隶书" w:hAnsi="隶书" w:eastAsia="隶书" w:cs="隶书"/>
          <w:sz w:val="52"/>
          <w:szCs w:val="52"/>
          <w:lang w:eastAsia="zh-CN"/>
        </w:rPr>
        <w:t>焦作市城乡一体化示范区</w:t>
      </w:r>
    </w:p>
    <w:p>
      <w:pPr>
        <w:jc w:val="center"/>
        <w:rPr>
          <w:rFonts w:hint="eastAsia" w:ascii="隶书" w:hAnsi="隶书" w:eastAsia="隶书" w:cs="隶书"/>
          <w:sz w:val="52"/>
          <w:szCs w:val="52"/>
          <w:lang w:eastAsia="zh-CN"/>
        </w:rPr>
      </w:pPr>
      <w:r>
        <w:rPr>
          <w:rFonts w:hint="eastAsia" w:ascii="隶书" w:hAnsi="隶书" w:eastAsia="隶书" w:cs="隶书"/>
          <w:sz w:val="52"/>
          <w:szCs w:val="52"/>
          <w:lang w:eastAsia="zh-CN"/>
        </w:rPr>
        <w:t>李万街道办事处</w:t>
      </w:r>
    </w:p>
    <w:p>
      <w:pPr>
        <w:jc w:val="center"/>
        <w:rPr>
          <w:rFonts w:ascii="黑体" w:hAnsi="黑体" w:eastAsia="黑体" w:cs="Times New Roman"/>
          <w:sz w:val="52"/>
          <w:szCs w:val="52"/>
        </w:rPr>
      </w:pPr>
    </w:p>
    <w:p>
      <w:pPr>
        <w:jc w:val="center"/>
        <w:rPr>
          <w:rFonts w:ascii="隶书" w:hAnsi="隶书" w:eastAsia="隶书" w:cs="Times New Roman"/>
          <w:sz w:val="52"/>
          <w:szCs w:val="52"/>
        </w:rPr>
        <w:sectPr>
          <w:pgSz w:w="11906" w:h="16838"/>
          <w:pgMar w:top="1440" w:right="1531" w:bottom="1440" w:left="1587" w:header="850" w:footer="992" w:gutter="0"/>
          <w:pgNumType w:fmt="numberInDash" w:start="1"/>
          <w:cols w:space="720" w:num="1"/>
          <w:docGrid w:type="lines" w:linePitch="317"/>
        </w:sectPr>
      </w:pPr>
      <w:r>
        <w:rPr>
          <w:rFonts w:ascii="隶书" w:hAnsi="隶书" w:eastAsia="隶书" w:cs="隶书"/>
          <w:sz w:val="52"/>
          <w:szCs w:val="52"/>
        </w:rPr>
        <w:t>2016</w:t>
      </w:r>
      <w:r>
        <w:rPr>
          <w:rFonts w:hint="eastAsia" w:ascii="隶书" w:hAnsi="隶书" w:eastAsia="隶书" w:cs="隶书"/>
          <w:sz w:val="52"/>
          <w:szCs w:val="52"/>
        </w:rPr>
        <w:t>年度部门决算</w:t>
      </w:r>
    </w:p>
    <w:p>
      <w:pPr>
        <w:jc w:val="center"/>
        <w:rPr>
          <w:rFonts w:ascii="黑体" w:hAnsi="黑体" w:eastAsia="黑体" w:cs="Times New Roman"/>
          <w:sz w:val="36"/>
          <w:szCs w:val="36"/>
        </w:rPr>
      </w:pPr>
      <w:r>
        <w:rPr>
          <w:rFonts w:hint="eastAsia" w:ascii="黑体" w:hAnsi="黑体" w:eastAsia="黑体" w:cs="黑体"/>
          <w:sz w:val="36"/>
          <w:szCs w:val="36"/>
        </w:rPr>
        <w:t>目　　录</w:t>
      </w:r>
    </w:p>
    <w:p>
      <w:pPr>
        <w:jc w:val="left"/>
        <w:rPr>
          <w:rFonts w:ascii="黑体" w:hAnsi="黑体" w:eastAsia="黑体" w:cs="Times New Roman"/>
          <w:sz w:val="32"/>
          <w:szCs w:val="32"/>
        </w:rPr>
      </w:pPr>
      <w:r>
        <w:rPr>
          <w:rFonts w:hint="eastAsia" w:ascii="黑体" w:hAnsi="黑体" w:eastAsia="黑体" w:cs="黑体"/>
          <w:sz w:val="32"/>
          <w:szCs w:val="32"/>
        </w:rPr>
        <w:t>第一部分　　</w:t>
      </w:r>
      <w:r>
        <w:rPr>
          <w:rFonts w:hint="eastAsia" w:ascii="黑体" w:hAnsi="黑体" w:eastAsia="黑体" w:cs="黑体"/>
          <w:sz w:val="32"/>
          <w:szCs w:val="32"/>
          <w:lang w:eastAsia="zh-CN"/>
        </w:rPr>
        <w:t>焦作市城乡一体化示范区李万街道办事处</w:t>
      </w:r>
      <w:r>
        <w:rPr>
          <w:rFonts w:hint="eastAsia" w:ascii="黑体" w:hAnsi="黑体" w:eastAsia="黑体" w:cs="黑体"/>
          <w:sz w:val="32"/>
          <w:szCs w:val="32"/>
        </w:rPr>
        <w:t>概况</w:t>
      </w:r>
    </w:p>
    <w:p>
      <w:pPr>
        <w:numPr>
          <w:ilvl w:val="0"/>
          <w:numId w:val="1"/>
        </w:numPr>
        <w:jc w:val="left"/>
        <w:rPr>
          <w:rFonts w:ascii="宋体" w:cs="Times New Roman"/>
          <w:sz w:val="32"/>
          <w:szCs w:val="32"/>
        </w:rPr>
      </w:pPr>
      <w:r>
        <w:rPr>
          <w:rFonts w:hint="eastAsia" w:ascii="宋体" w:hAnsi="宋体" w:cs="宋体"/>
          <w:sz w:val="32"/>
          <w:szCs w:val="32"/>
        </w:rPr>
        <w:t>主要职责</w:t>
      </w:r>
    </w:p>
    <w:p>
      <w:pPr>
        <w:numPr>
          <w:ilvl w:val="0"/>
          <w:numId w:val="1"/>
        </w:numPr>
        <w:jc w:val="left"/>
        <w:rPr>
          <w:rFonts w:ascii="宋体" w:cs="Times New Roman"/>
          <w:sz w:val="32"/>
          <w:szCs w:val="32"/>
        </w:rPr>
      </w:pPr>
      <w:r>
        <w:rPr>
          <w:rFonts w:hint="eastAsia" w:ascii="宋体" w:hAnsi="宋体" w:cs="宋体"/>
          <w:sz w:val="32"/>
          <w:szCs w:val="32"/>
        </w:rPr>
        <w:t>部门决算单位构成</w:t>
      </w:r>
    </w:p>
    <w:p>
      <w:pPr>
        <w:jc w:val="left"/>
        <w:rPr>
          <w:rFonts w:ascii="黑体" w:hAnsi="黑体" w:eastAsia="黑体" w:cs="Times New Roman"/>
          <w:sz w:val="32"/>
          <w:szCs w:val="32"/>
        </w:rPr>
      </w:pPr>
      <w:r>
        <w:rPr>
          <w:rFonts w:hint="eastAsia" w:ascii="黑体" w:hAnsi="黑体" w:eastAsia="黑体" w:cs="黑体"/>
          <w:sz w:val="32"/>
          <w:szCs w:val="32"/>
        </w:rPr>
        <w:t>第二部分　　</w:t>
      </w:r>
      <w:r>
        <w:rPr>
          <w:rFonts w:hint="eastAsia" w:ascii="黑体" w:hAnsi="黑体" w:eastAsia="黑体" w:cs="黑体"/>
          <w:sz w:val="32"/>
          <w:szCs w:val="32"/>
          <w:lang w:eastAsia="zh-CN"/>
        </w:rPr>
        <w:t>焦作市城乡一体化示范区李万街道办事处</w:t>
      </w:r>
      <w:r>
        <w:rPr>
          <w:rFonts w:ascii="黑体" w:hAnsi="黑体" w:eastAsia="黑体" w:cs="黑体"/>
          <w:sz w:val="32"/>
          <w:szCs w:val="32"/>
        </w:rPr>
        <w:t>2016</w:t>
      </w:r>
      <w:r>
        <w:rPr>
          <w:rFonts w:hint="eastAsia" w:ascii="黑体" w:hAnsi="黑体" w:eastAsia="黑体" w:cs="黑体"/>
          <w:sz w:val="32"/>
          <w:szCs w:val="32"/>
        </w:rPr>
        <w:t>年度部门决算表</w:t>
      </w:r>
    </w:p>
    <w:p>
      <w:pPr>
        <w:jc w:val="left"/>
        <w:rPr>
          <w:rFonts w:ascii="宋体" w:cs="Times New Roman"/>
          <w:sz w:val="32"/>
          <w:szCs w:val="32"/>
        </w:rPr>
      </w:pPr>
      <w:r>
        <w:rPr>
          <w:rFonts w:hint="eastAsia" w:ascii="宋体" w:hAnsi="宋体" w:cs="宋体"/>
          <w:sz w:val="32"/>
          <w:szCs w:val="32"/>
        </w:rPr>
        <w:t>一、收入支出决算总表</w:t>
      </w:r>
    </w:p>
    <w:p>
      <w:pPr>
        <w:jc w:val="left"/>
        <w:rPr>
          <w:rFonts w:ascii="宋体" w:cs="Times New Roman"/>
          <w:sz w:val="32"/>
          <w:szCs w:val="32"/>
        </w:rPr>
      </w:pPr>
      <w:r>
        <w:rPr>
          <w:rFonts w:hint="eastAsia" w:ascii="宋体" w:hAnsi="宋体" w:cs="宋体"/>
          <w:sz w:val="32"/>
          <w:szCs w:val="32"/>
        </w:rPr>
        <w:t>二、收入决算表</w:t>
      </w:r>
    </w:p>
    <w:p>
      <w:pPr>
        <w:jc w:val="left"/>
        <w:rPr>
          <w:rFonts w:ascii="宋体" w:cs="Times New Roman"/>
          <w:sz w:val="32"/>
          <w:szCs w:val="32"/>
        </w:rPr>
      </w:pPr>
      <w:r>
        <w:rPr>
          <w:rFonts w:hint="eastAsia" w:ascii="宋体" w:hAnsi="宋体" w:cs="宋体"/>
          <w:sz w:val="32"/>
          <w:szCs w:val="32"/>
        </w:rPr>
        <w:t>三、支出决算表</w:t>
      </w:r>
    </w:p>
    <w:p>
      <w:pPr>
        <w:jc w:val="left"/>
        <w:rPr>
          <w:rFonts w:ascii="宋体" w:cs="Times New Roman"/>
          <w:sz w:val="32"/>
          <w:szCs w:val="32"/>
        </w:rPr>
      </w:pPr>
      <w:r>
        <w:rPr>
          <w:rFonts w:hint="eastAsia" w:ascii="宋体" w:hAnsi="宋体" w:cs="宋体"/>
          <w:sz w:val="32"/>
          <w:szCs w:val="32"/>
        </w:rPr>
        <w:t>四、财政拨款收入支出决算总表</w:t>
      </w:r>
    </w:p>
    <w:p>
      <w:pPr>
        <w:jc w:val="left"/>
        <w:rPr>
          <w:rFonts w:ascii="宋体" w:cs="Times New Roman"/>
          <w:sz w:val="32"/>
          <w:szCs w:val="32"/>
        </w:rPr>
      </w:pPr>
      <w:r>
        <w:rPr>
          <w:rFonts w:hint="eastAsia" w:ascii="宋体" w:hAnsi="宋体" w:cs="宋体"/>
          <w:sz w:val="32"/>
          <w:szCs w:val="32"/>
        </w:rPr>
        <w:t>五、一般公共预算财政拨款支出决算表</w:t>
      </w:r>
    </w:p>
    <w:p>
      <w:pPr>
        <w:jc w:val="left"/>
        <w:rPr>
          <w:rFonts w:ascii="宋体" w:cs="Times New Roman"/>
          <w:sz w:val="32"/>
          <w:szCs w:val="32"/>
        </w:rPr>
      </w:pPr>
      <w:r>
        <w:rPr>
          <w:rFonts w:hint="eastAsia" w:ascii="宋体" w:hAnsi="宋体" w:cs="宋体"/>
          <w:sz w:val="32"/>
          <w:szCs w:val="32"/>
        </w:rPr>
        <w:t>六、一般公共预算财政拨款基本支出决算表</w:t>
      </w:r>
    </w:p>
    <w:p>
      <w:pPr>
        <w:jc w:val="left"/>
        <w:rPr>
          <w:rFonts w:ascii="宋体" w:cs="Times New Roman"/>
          <w:sz w:val="32"/>
          <w:szCs w:val="32"/>
        </w:rPr>
      </w:pPr>
      <w:r>
        <w:rPr>
          <w:rFonts w:hint="eastAsia" w:ascii="宋体" w:hAnsi="宋体" w:cs="宋体"/>
          <w:sz w:val="32"/>
          <w:szCs w:val="32"/>
        </w:rPr>
        <w:t>七、一般公共预算财政拨款“三公”经费支出决算表</w:t>
      </w:r>
    </w:p>
    <w:p>
      <w:pPr>
        <w:jc w:val="left"/>
        <w:rPr>
          <w:rFonts w:ascii="宋体" w:cs="Times New Roman"/>
          <w:sz w:val="32"/>
          <w:szCs w:val="32"/>
        </w:rPr>
      </w:pPr>
      <w:r>
        <w:rPr>
          <w:rFonts w:hint="eastAsia" w:ascii="宋体" w:hAnsi="宋体" w:cs="宋体"/>
          <w:sz w:val="32"/>
          <w:szCs w:val="32"/>
        </w:rPr>
        <w:t>八、政府性基金预算财政拨款收入支出决算表</w:t>
      </w:r>
    </w:p>
    <w:p>
      <w:pPr>
        <w:jc w:val="left"/>
        <w:rPr>
          <w:rFonts w:ascii="黑体" w:hAnsi="黑体" w:eastAsia="黑体" w:cs="Times New Roman"/>
          <w:sz w:val="32"/>
          <w:szCs w:val="32"/>
        </w:rPr>
      </w:pPr>
      <w:r>
        <w:rPr>
          <w:rFonts w:hint="eastAsia" w:ascii="黑体" w:hAnsi="黑体" w:eastAsia="黑体" w:cs="黑体"/>
          <w:sz w:val="32"/>
          <w:szCs w:val="32"/>
        </w:rPr>
        <w:t>第三部分　　</w:t>
      </w:r>
      <w:r>
        <w:rPr>
          <w:rFonts w:hint="eastAsia" w:ascii="黑体" w:hAnsi="黑体" w:eastAsia="黑体" w:cs="黑体"/>
          <w:sz w:val="32"/>
          <w:szCs w:val="32"/>
          <w:lang w:eastAsia="zh-CN"/>
        </w:rPr>
        <w:t>焦作市城乡一体化示范区李万街道办事处</w:t>
      </w:r>
      <w:r>
        <w:rPr>
          <w:rFonts w:ascii="黑体" w:hAnsi="黑体" w:eastAsia="黑体" w:cs="黑体"/>
          <w:sz w:val="32"/>
          <w:szCs w:val="32"/>
        </w:rPr>
        <w:t>2016</w:t>
      </w:r>
      <w:r>
        <w:rPr>
          <w:rFonts w:hint="eastAsia" w:ascii="黑体" w:hAnsi="黑体" w:eastAsia="黑体" w:cs="黑体"/>
          <w:sz w:val="32"/>
          <w:szCs w:val="32"/>
        </w:rPr>
        <w:t>年度部门决算情况说明</w:t>
      </w:r>
    </w:p>
    <w:p>
      <w:pPr>
        <w:jc w:val="left"/>
        <w:rPr>
          <w:rFonts w:ascii="黑体" w:hAnsi="黑体" w:eastAsia="黑体" w:cs="Times New Roman"/>
          <w:sz w:val="32"/>
          <w:szCs w:val="32"/>
        </w:rPr>
        <w:sectPr>
          <w:footerReference r:id="rId4" w:type="default"/>
          <w:pgSz w:w="11906" w:h="16838"/>
          <w:pgMar w:top="1440" w:right="1531" w:bottom="1440" w:left="1587" w:header="850" w:footer="992" w:gutter="0"/>
          <w:pgNumType w:fmt="numberInDash"/>
          <w:cols w:space="720" w:num="1"/>
          <w:docGrid w:type="lines" w:linePitch="317"/>
        </w:sectPr>
      </w:pPr>
      <w:r>
        <w:rPr>
          <w:rFonts w:hint="eastAsia" w:ascii="黑体" w:hAnsi="黑体" w:eastAsia="黑体" w:cs="黑体"/>
          <w:sz w:val="32"/>
          <w:szCs w:val="32"/>
        </w:rPr>
        <w:t>第四部分　　名词解释</w:t>
      </w: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sectPr>
          <w:footerReference r:id="rId5" w:type="default"/>
          <w:pgSz w:w="11906" w:h="16838"/>
          <w:pgMar w:top="1440" w:right="1531" w:bottom="1440" w:left="1587" w:header="850" w:footer="992" w:gutter="0"/>
          <w:pgNumType w:fmt="numberInDash" w:start="1"/>
          <w:cols w:space="720" w:num="1"/>
          <w:docGrid w:type="lines" w:linePitch="317"/>
        </w:sectPr>
      </w:pPr>
      <w:r>
        <w:rPr>
          <w:rFonts w:hint="eastAsia" w:ascii="隶书" w:hAnsi="隶书" w:eastAsia="隶书" w:cs="隶书"/>
          <w:sz w:val="48"/>
          <w:szCs w:val="48"/>
        </w:rPr>
        <w:t>第一部分　</w:t>
      </w:r>
      <w:r>
        <w:rPr>
          <w:rFonts w:hint="eastAsia" w:ascii="隶书" w:hAnsi="隶书" w:eastAsia="隶书" w:cs="隶书"/>
          <w:sz w:val="48"/>
          <w:szCs w:val="48"/>
          <w:lang w:eastAsia="zh-CN"/>
        </w:rPr>
        <w:t>焦作市城乡一体化示范区李万街道办事处</w:t>
      </w:r>
      <w:r>
        <w:rPr>
          <w:rFonts w:hint="eastAsia" w:ascii="隶书" w:hAnsi="隶书" w:eastAsia="隶书" w:cs="隶书"/>
          <w:sz w:val="48"/>
          <w:szCs w:val="48"/>
        </w:rPr>
        <w:t>概况</w:t>
      </w:r>
    </w:p>
    <w:p>
      <w:pPr>
        <w:numPr>
          <w:ilvl w:val="0"/>
          <w:numId w:val="2"/>
        </w:numPr>
        <w:spacing w:line="360" w:lineRule="auto"/>
        <w:ind w:firstLine="31680" w:firstLineChars="200"/>
        <w:jc w:val="left"/>
        <w:outlineLvl w:val="1"/>
        <w:rPr>
          <w:rFonts w:ascii="黑体" w:hAnsi="黑体" w:eastAsia="黑体" w:cs="Times New Roman"/>
          <w:sz w:val="32"/>
          <w:szCs w:val="32"/>
        </w:rPr>
      </w:pPr>
      <w:r>
        <w:rPr>
          <w:rFonts w:hint="eastAsia" w:ascii="黑体" w:hAnsi="黑体" w:eastAsia="黑体" w:cs="黑体"/>
          <w:sz w:val="32"/>
          <w:szCs w:val="32"/>
        </w:rPr>
        <w:t>主要职责</w:t>
      </w:r>
    </w:p>
    <w:p>
      <w:pPr>
        <w:pStyle w:val="5"/>
        <w:spacing w:line="600" w:lineRule="exact"/>
        <w:ind w:left="0" w:firstLine="668" w:firstLineChars="200"/>
        <w:rPr>
          <w:rFonts w:hint="eastAsia" w:ascii="仿宋_GB2312" w:eastAsia="仿宋_GB2312"/>
          <w:sz w:val="34"/>
          <w:szCs w:val="34"/>
        </w:rPr>
      </w:pPr>
      <w:r>
        <w:rPr>
          <w:rFonts w:hint="eastAsia" w:ascii="仿宋_GB2312" w:hAnsi="仿宋_GB2312" w:eastAsia="仿宋_GB2312" w:cs="Times New Roman"/>
          <w:sz w:val="32"/>
          <w:szCs w:val="32"/>
          <w:lang w:val="en-US" w:eastAsia="zh-CN"/>
        </w:rPr>
        <w:t xml:space="preserve">    </w:t>
      </w:r>
      <w:r>
        <w:rPr>
          <w:rFonts w:hint="eastAsia" w:ascii="仿宋_GB2312" w:hAnsi="仿宋_GB2312" w:eastAsia="仿宋_GB2312" w:cs="Times New Roman"/>
          <w:sz w:val="32"/>
          <w:szCs w:val="32"/>
          <w:lang w:eastAsia="zh-CN"/>
        </w:rPr>
        <w:t>李万街道成立于2007年4月，位于焦作示范区迎宾路以西，占地总面积约18平方公里，耕地面积约0.4万亩，迎宾路、世纪大道、民主路、西环路等市、区主要道路经过辖区，交通便利、区位优势显著。辖区共9个行政村，2个社区居民委员会。总人口约1.6万人，其中农业人口1.1万人，非农业人口0.5万人。贯彻落实国家和省、市、区有关街道办事处工作的各项路线、方针、政策，制定街道的经济和社会发展计划，促进经济发展，加强基层组织建设，保持社会稳定，搞好农村、城市管理和社会公共服务，促进辖区经济建设和各项社会事业的发展。主要职责：</w:t>
      </w:r>
      <w:r>
        <w:rPr>
          <w:rFonts w:hint="eastAsia" w:ascii="仿宋_GB2312" w:eastAsia="仿宋_GB2312"/>
          <w:sz w:val="34"/>
          <w:szCs w:val="34"/>
        </w:rPr>
        <w:t>1、研究和制定街道经济发展规划。积极引进项目，搞好项目进区服务，大力发展三产，培植涵养税源，促进街道经济的发展，保证财政收入稳步增长。2、指导协调村委会、居委会搞好农村和社区建设。抓好农村和社区党建，加强基层组织建设；完善社会服务网络，开展社会公共服务，开展群众文体活动，丰富人民文化生活。3、负责做好街道城市建设与城市管理工作，指导农村、社区做好环境卫生管理工作。4、负责做好辖区计划生育管理工作，控制人口增长。5、指导协调辖区各单位和农村村委会、社区居委会搞好社会治安综合治理和精神文明建设工作。6、完成区党工委、管委会交办的其他任务。</w:t>
      </w:r>
    </w:p>
    <w:p>
      <w:pPr>
        <w:pStyle w:val="5"/>
        <w:spacing w:line="600" w:lineRule="exact"/>
        <w:ind w:left="0" w:firstLine="668" w:firstLineChars="200"/>
        <w:rPr>
          <w:rFonts w:hint="eastAsia" w:ascii="仿宋_GB2312" w:hAnsi="仿宋_GB2312" w:eastAsia="仿宋_GB2312" w:cs="Times New Roman"/>
          <w:sz w:val="32"/>
          <w:szCs w:val="32"/>
          <w:lang w:eastAsia="zh-CN"/>
        </w:rPr>
      </w:pPr>
    </w:p>
    <w:p>
      <w:pPr>
        <w:numPr>
          <w:numId w:val="0"/>
        </w:numPr>
        <w:tabs>
          <w:tab w:val="left" w:pos="1294"/>
        </w:tabs>
        <w:spacing w:line="360" w:lineRule="auto"/>
        <w:jc w:val="left"/>
        <w:rPr>
          <w:rFonts w:hint="eastAsia" w:ascii="仿宋_GB2312" w:hAnsi="仿宋_GB2312" w:eastAsia="仿宋_GB2312" w:cs="Times New Roman"/>
          <w:sz w:val="32"/>
          <w:szCs w:val="32"/>
          <w:lang w:eastAsia="zh-CN"/>
        </w:rPr>
      </w:pPr>
    </w:p>
    <w:p>
      <w:pPr>
        <w:spacing w:line="360" w:lineRule="auto"/>
        <w:jc w:val="left"/>
        <w:rPr>
          <w:rFonts w:ascii="楷体_GB2312" w:hAnsi="楷体_GB2312" w:eastAsia="楷体_GB2312" w:cs="Times New Roman"/>
          <w:sz w:val="32"/>
          <w:szCs w:val="32"/>
        </w:rPr>
      </w:pPr>
    </w:p>
    <w:p>
      <w:pPr>
        <w:numPr>
          <w:ilvl w:val="0"/>
          <w:numId w:val="3"/>
        </w:numPr>
        <w:spacing w:line="360" w:lineRule="auto"/>
        <w:ind w:firstLine="31680" w:firstLineChars="200"/>
        <w:jc w:val="left"/>
        <w:outlineLvl w:val="1"/>
        <w:rPr>
          <w:rFonts w:ascii="黑体" w:hAnsi="黑体" w:eastAsia="黑体" w:cs="Times New Roman"/>
          <w:sz w:val="32"/>
          <w:szCs w:val="32"/>
        </w:rPr>
      </w:pPr>
      <w:r>
        <w:rPr>
          <w:rFonts w:hint="eastAsia" w:ascii="黑体" w:hAnsi="黑体" w:eastAsia="黑体" w:cs="黑体"/>
          <w:sz w:val="32"/>
          <w:szCs w:val="32"/>
        </w:rPr>
        <w:t>部门决算单位构成</w:t>
      </w:r>
    </w:p>
    <w:p>
      <w:pPr>
        <w:spacing w:line="360" w:lineRule="auto"/>
        <w:ind w:firstLine="31680" w:firstLineChars="200"/>
        <w:jc w:val="left"/>
        <w:rPr>
          <w:rFonts w:ascii="黑体" w:hAnsi="黑体" w:eastAsia="黑体" w:cs="Times New Roman"/>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焦作市城乡一体化示范区李万街道办事处</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年度部门决算编制范围的单位包括：</w:t>
      </w:r>
      <w:r>
        <w:rPr>
          <w:rFonts w:hint="eastAsia" w:ascii="仿宋_GB2312" w:hAnsi="仿宋_GB2312" w:eastAsia="仿宋_GB2312" w:cs="仿宋_GB2312"/>
          <w:sz w:val="32"/>
          <w:szCs w:val="32"/>
          <w:lang w:eastAsia="zh-CN"/>
        </w:rPr>
        <w:t>焦作市城乡一体化示范区李万街道办事处本级</w:t>
      </w: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pPr>
      <w:r>
        <w:rPr>
          <w:rFonts w:hint="eastAsia" w:ascii="隶书" w:hAnsi="隶书" w:eastAsia="隶书" w:cs="隶书"/>
          <w:sz w:val="48"/>
          <w:szCs w:val="48"/>
        </w:rPr>
        <w:t>第二部分</w:t>
      </w:r>
    </w:p>
    <w:p>
      <w:pPr>
        <w:jc w:val="center"/>
        <w:rPr>
          <w:rFonts w:ascii="隶书" w:hAnsi="隶书" w:eastAsia="隶书" w:cs="Times New Roman"/>
          <w:sz w:val="48"/>
          <w:szCs w:val="48"/>
        </w:rPr>
        <w:sectPr>
          <w:pgSz w:w="11906" w:h="16838"/>
          <w:pgMar w:top="1440" w:right="1531" w:bottom="1440" w:left="1587" w:header="850" w:footer="992" w:gutter="0"/>
          <w:pgNumType w:fmt="numberInDash"/>
          <w:cols w:space="720" w:num="1"/>
          <w:docGrid w:type="lines" w:linePitch="317"/>
        </w:sectPr>
      </w:pPr>
      <w:r>
        <w:rPr>
          <w:rFonts w:hint="eastAsia" w:ascii="隶书" w:hAnsi="隶书" w:eastAsia="隶书" w:cs="隶书"/>
          <w:sz w:val="48"/>
          <w:szCs w:val="48"/>
          <w:lang w:eastAsia="zh-CN"/>
        </w:rPr>
        <w:t>李万办事处</w:t>
      </w:r>
      <w:r>
        <w:rPr>
          <w:rFonts w:ascii="隶书" w:hAnsi="隶书" w:eastAsia="隶书" w:cs="隶书"/>
          <w:sz w:val="48"/>
          <w:szCs w:val="48"/>
        </w:rPr>
        <w:t>2016</w:t>
      </w:r>
      <w:r>
        <w:rPr>
          <w:rFonts w:hint="eastAsia" w:ascii="隶书" w:hAnsi="隶书" w:eastAsia="隶书" w:cs="隶书"/>
          <w:sz w:val="48"/>
          <w:szCs w:val="48"/>
        </w:rPr>
        <w:t>年度部门决算表</w:t>
      </w:r>
    </w:p>
    <w:tbl>
      <w:tblPr>
        <w:tblW w:w="10350"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995"/>
        <w:gridCol w:w="645"/>
        <w:gridCol w:w="642"/>
        <w:gridCol w:w="472"/>
        <w:gridCol w:w="1316"/>
        <w:gridCol w:w="2325"/>
        <w:gridCol w:w="495"/>
        <w:gridCol w:w="324"/>
        <w:gridCol w:w="527"/>
        <w:gridCol w:w="1609"/>
      </w:tblGrid>
      <w:tr>
        <w:trPr>
          <w:trHeight w:val="375" w:hRule="atLeast"/>
        </w:trPr>
        <w:tc>
          <w:tcPr>
            <w:tcW w:w="10350" w:type="dxa"/>
            <w:gridSpan w:val="10"/>
            <w:vAlign w:val="center"/>
          </w:tcPr>
          <w:p>
            <w:pPr>
              <w:widowControl/>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收入支出决算总表</w:t>
            </w:r>
          </w:p>
        </w:tc>
      </w:tr>
      <w:tr>
        <w:trPr>
          <w:trHeight w:val="315" w:hRule="atLeast"/>
        </w:trPr>
        <w:tc>
          <w:tcPr>
            <w:tcW w:w="3282" w:type="dxa"/>
            <w:gridSpan w:val="3"/>
            <w:vAlign w:val="center"/>
          </w:tcPr>
          <w:p>
            <w:pPr>
              <w:widowControl/>
              <w:jc w:val="left"/>
              <w:textAlignment w:val="center"/>
              <w:rPr>
                <w:rFonts w:ascii="宋体" w:cs="Times New Roman"/>
                <w:color w:val="000000"/>
                <w:sz w:val="16"/>
                <w:szCs w:val="16"/>
              </w:rPr>
            </w:pPr>
            <w:r>
              <w:rPr>
                <w:rFonts w:ascii="宋体" w:cs="宋体"/>
                <w:color w:val="000000"/>
                <w:kern w:val="0"/>
                <w:sz w:val="16"/>
                <w:szCs w:val="16"/>
              </w:rPr>
              <w:t>.</w:t>
            </w:r>
          </w:p>
        </w:tc>
        <w:tc>
          <w:tcPr>
            <w:tcW w:w="472" w:type="dxa"/>
            <w:vAlign w:val="center"/>
          </w:tcPr>
          <w:p>
            <w:pPr>
              <w:rPr>
                <w:rFonts w:ascii="宋体" w:cs="Times New Roman"/>
                <w:color w:val="000000"/>
                <w:sz w:val="16"/>
                <w:szCs w:val="16"/>
              </w:rPr>
            </w:pPr>
          </w:p>
        </w:tc>
        <w:tc>
          <w:tcPr>
            <w:tcW w:w="1316" w:type="dxa"/>
            <w:vAlign w:val="center"/>
          </w:tcPr>
          <w:p>
            <w:pPr>
              <w:rPr>
                <w:rFonts w:ascii="宋体" w:cs="Times New Roman"/>
                <w:color w:val="000000"/>
                <w:sz w:val="16"/>
                <w:szCs w:val="16"/>
              </w:rPr>
            </w:pPr>
          </w:p>
        </w:tc>
        <w:tc>
          <w:tcPr>
            <w:tcW w:w="3144" w:type="dxa"/>
            <w:gridSpan w:val="3"/>
            <w:vAlign w:val="center"/>
          </w:tcPr>
          <w:p>
            <w:pPr>
              <w:rPr>
                <w:rFonts w:ascii="宋体" w:cs="Times New Roman"/>
                <w:color w:val="000000"/>
                <w:sz w:val="16"/>
                <w:szCs w:val="16"/>
              </w:rPr>
            </w:pPr>
          </w:p>
        </w:tc>
        <w:tc>
          <w:tcPr>
            <w:tcW w:w="527" w:type="dxa"/>
            <w:vAlign w:val="center"/>
          </w:tcPr>
          <w:p>
            <w:pPr>
              <w:rPr>
                <w:rFonts w:ascii="宋体" w:cs="Times New Roman"/>
                <w:color w:val="000000"/>
                <w:sz w:val="16"/>
                <w:szCs w:val="16"/>
              </w:rPr>
            </w:pPr>
          </w:p>
        </w:tc>
        <w:tc>
          <w:tcPr>
            <w:tcW w:w="1609"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01</w:t>
            </w:r>
            <w:r>
              <w:rPr>
                <w:rFonts w:hint="eastAsia" w:ascii="宋体" w:hAnsi="宋体" w:cs="宋体"/>
                <w:color w:val="000000"/>
                <w:kern w:val="0"/>
                <w:sz w:val="16"/>
                <w:szCs w:val="16"/>
              </w:rPr>
              <w:t>表</w:t>
            </w:r>
          </w:p>
        </w:tc>
      </w:tr>
      <w:tr>
        <w:trPr>
          <w:trHeight w:val="315" w:hRule="atLeast"/>
        </w:trPr>
        <w:tc>
          <w:tcPr>
            <w:tcW w:w="3282" w:type="dxa"/>
            <w:gridSpan w:val="3"/>
            <w:vAlign w:val="center"/>
          </w:tcPr>
          <w:p>
            <w:pPr>
              <w:rPr>
                <w:rFonts w:ascii="宋体" w:cs="Times New Roman"/>
                <w:color w:val="000000"/>
                <w:sz w:val="16"/>
                <w:szCs w:val="16"/>
              </w:rPr>
            </w:pPr>
          </w:p>
        </w:tc>
        <w:tc>
          <w:tcPr>
            <w:tcW w:w="472" w:type="dxa"/>
            <w:vAlign w:val="center"/>
          </w:tcPr>
          <w:p>
            <w:pPr>
              <w:rPr>
                <w:rFonts w:ascii="宋体" w:cs="Times New Roman"/>
                <w:color w:val="000000"/>
                <w:sz w:val="16"/>
                <w:szCs w:val="16"/>
              </w:rPr>
            </w:pPr>
          </w:p>
        </w:tc>
        <w:tc>
          <w:tcPr>
            <w:tcW w:w="1316" w:type="dxa"/>
            <w:vAlign w:val="center"/>
          </w:tcPr>
          <w:p>
            <w:pPr>
              <w:rPr>
                <w:rFonts w:ascii="宋体" w:cs="Times New Roman"/>
                <w:color w:val="000000"/>
                <w:sz w:val="16"/>
                <w:szCs w:val="16"/>
              </w:rPr>
            </w:pPr>
          </w:p>
        </w:tc>
        <w:tc>
          <w:tcPr>
            <w:tcW w:w="3144" w:type="dxa"/>
            <w:gridSpan w:val="3"/>
            <w:vAlign w:val="center"/>
          </w:tcPr>
          <w:p>
            <w:pPr>
              <w:rPr>
                <w:rFonts w:ascii="宋体" w:cs="Times New Roman"/>
                <w:color w:val="000000"/>
                <w:sz w:val="16"/>
                <w:szCs w:val="16"/>
              </w:rPr>
            </w:pPr>
          </w:p>
        </w:tc>
        <w:tc>
          <w:tcPr>
            <w:tcW w:w="527" w:type="dxa"/>
            <w:vAlign w:val="center"/>
          </w:tcPr>
          <w:p>
            <w:pPr>
              <w:rPr>
                <w:rFonts w:ascii="宋体" w:cs="Times New Roman"/>
                <w:color w:val="000000"/>
                <w:sz w:val="16"/>
                <w:szCs w:val="16"/>
              </w:rPr>
            </w:pPr>
          </w:p>
        </w:tc>
        <w:tc>
          <w:tcPr>
            <w:tcW w:w="1609"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rPr>
          <w:trHeight w:val="300" w:hRule="atLeast"/>
        </w:trPr>
        <w:tc>
          <w:tcPr>
            <w:tcW w:w="507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收　　入</w:t>
            </w:r>
          </w:p>
        </w:tc>
        <w:tc>
          <w:tcPr>
            <w:tcW w:w="5280"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支　　出</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　　次</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　　次</w:t>
            </w:r>
          </w:p>
        </w:tc>
        <w:tc>
          <w:tcPr>
            <w:tcW w:w="49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一、财政拨款收入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2284.05</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一、一般公共服务支出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2</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二、上级补助收入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二、外交支出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三、事业收入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三、国防支出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四、经营收入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四、公共安全支出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五、附属单位上缴收入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五、教育支出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六、其他收入</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680.01</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六、科学技术支出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七、文化体育与传媒支出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八、社会保障和就业支出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九、医疗卫生与计划生育支出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十、节能环保支出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十一、城乡社区支出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2871.28</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十二、农林水支出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十三、交通运输支出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十四、资源勘探信息等支出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十五、商业服务业等支出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十六、金融支出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十七、援助其他地区支出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十八、国土海洋气象等支出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19</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十九、住房保障支出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48</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二十、粮油物资储备支出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49</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21</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二十一、其他支出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50</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22</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二十二、债务还本支出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51</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23</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二十三、债务付息支出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52</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24</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53</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本年收入合计</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25</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b/>
                <w:bCs/>
                <w:color w:val="000000"/>
                <w:sz w:val="16"/>
                <w:szCs w:val="16"/>
                <w:lang w:val="en-US" w:eastAsia="zh-CN"/>
              </w:rPr>
            </w:pPr>
            <w:r>
              <w:rPr>
                <w:rFonts w:hint="eastAsia" w:ascii="宋体" w:cs="Times New Roman"/>
                <w:b/>
                <w:bCs/>
                <w:color w:val="000000"/>
                <w:sz w:val="16"/>
                <w:szCs w:val="16"/>
                <w:lang w:val="en-US" w:eastAsia="zh-CN"/>
              </w:rPr>
              <w:t>2964.05</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54</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eastAsia="宋体" w:cs="Times New Roman"/>
                <w:b/>
                <w:bCs/>
                <w:color w:val="000000"/>
                <w:sz w:val="16"/>
                <w:szCs w:val="16"/>
                <w:lang w:val="en-US" w:eastAsia="zh-CN"/>
              </w:rPr>
            </w:pPr>
            <w:r>
              <w:rPr>
                <w:rFonts w:hint="eastAsia" w:ascii="宋体" w:cs="Times New Roman"/>
                <w:b/>
                <w:bCs/>
                <w:color w:val="000000"/>
                <w:sz w:val="16"/>
                <w:szCs w:val="16"/>
                <w:lang w:val="en-US" w:eastAsia="zh-CN"/>
              </w:rPr>
              <w:t>2873.28</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用事业基金弥补收支差额</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26</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结余分配</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55</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年初结转和结余</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27</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r>
              <w:rPr>
                <w:rFonts w:hint="eastAsia" w:ascii="宋体" w:cs="Times New Roman"/>
                <w:color w:val="000000"/>
                <w:sz w:val="16"/>
                <w:szCs w:val="16"/>
                <w:lang w:val="en-US" w:eastAsia="zh-CN"/>
              </w:rPr>
              <w:t>192.8</w:t>
            </w:r>
          </w:p>
        </w:tc>
        <w:tc>
          <w:tcPr>
            <w:tcW w:w="232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年末结转和结余</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56</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jc w:val="center"/>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283.58</w:t>
            </w:r>
          </w:p>
        </w:tc>
      </w:tr>
      <w:tr>
        <w:trPr>
          <w:trHeight w:val="300" w:hRule="atLeast"/>
        </w:trPr>
        <w:tc>
          <w:tcPr>
            <w:tcW w:w="1995" w:type="dxa"/>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color w:val="000000"/>
                <w:sz w:val="16"/>
                <w:szCs w:val="16"/>
              </w:rPr>
            </w:pP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28</w:t>
            </w:r>
          </w:p>
        </w:tc>
        <w:tc>
          <w:tcPr>
            <w:tcW w:w="243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325" w:type="dxa"/>
            <w:tcBorders>
              <w:top w:val="single" w:color="000000" w:sz="4" w:space="0"/>
              <w:left w:val="single" w:color="000000" w:sz="4" w:space="0"/>
              <w:bottom w:val="single" w:color="000000" w:sz="4" w:space="0"/>
              <w:right w:val="single" w:color="000000" w:sz="4" w:space="0"/>
            </w:tcBorders>
            <w:vAlign w:val="center"/>
          </w:tcPr>
          <w:p>
            <w:pPr>
              <w:rPr>
                <w:rFonts w:ascii="宋体" w:cs="Times New Roman"/>
                <w:color w:val="000000"/>
                <w:sz w:val="16"/>
                <w:szCs w:val="16"/>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57</w:t>
            </w:r>
          </w:p>
        </w:tc>
        <w:tc>
          <w:tcPr>
            <w:tcW w:w="2460" w:type="dxa"/>
            <w:gridSpan w:val="3"/>
            <w:tcBorders>
              <w:top w:val="single" w:color="000000" w:sz="4" w:space="0"/>
              <w:left w:val="single" w:color="000000" w:sz="4" w:space="0"/>
              <w:bottom w:val="single" w:color="000000" w:sz="4" w:space="0"/>
              <w:right w:val="single" w:color="000000" w:sz="12" w:space="0"/>
            </w:tcBorders>
            <w:vAlign w:val="center"/>
          </w:tcPr>
          <w:p>
            <w:pPr>
              <w:rPr>
                <w:rFonts w:ascii="宋体" w:cs="Times New Roman"/>
                <w:color w:val="000000"/>
                <w:sz w:val="16"/>
                <w:szCs w:val="16"/>
              </w:rPr>
            </w:pPr>
          </w:p>
        </w:tc>
      </w:tr>
      <w:tr>
        <w:trPr>
          <w:trHeight w:val="300" w:hRule="atLeast"/>
        </w:trPr>
        <w:tc>
          <w:tcPr>
            <w:tcW w:w="199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64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29</w:t>
            </w:r>
          </w:p>
        </w:tc>
        <w:tc>
          <w:tcPr>
            <w:tcW w:w="2430"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eastAsia="宋体" w:cs="Times New Roman"/>
                <w:b/>
                <w:bCs/>
                <w:color w:val="000000"/>
                <w:sz w:val="16"/>
                <w:szCs w:val="16"/>
                <w:lang w:val="en-US" w:eastAsia="zh-CN"/>
              </w:rPr>
            </w:pPr>
            <w:r>
              <w:rPr>
                <w:rFonts w:hint="eastAsia" w:ascii="宋体" w:cs="Times New Roman"/>
                <w:b/>
                <w:bCs/>
                <w:color w:val="000000"/>
                <w:sz w:val="16"/>
                <w:szCs w:val="16"/>
                <w:lang w:val="en-US" w:eastAsia="zh-CN"/>
              </w:rPr>
              <w:t>3156.86</w:t>
            </w:r>
          </w:p>
        </w:tc>
        <w:tc>
          <w:tcPr>
            <w:tcW w:w="2325"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495"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58</w:t>
            </w:r>
          </w:p>
        </w:tc>
        <w:tc>
          <w:tcPr>
            <w:tcW w:w="2460" w:type="dxa"/>
            <w:gridSpan w:val="3"/>
            <w:tcBorders>
              <w:top w:val="single" w:color="000000" w:sz="4" w:space="0"/>
              <w:left w:val="single" w:color="000000" w:sz="4" w:space="0"/>
              <w:bottom w:val="single" w:color="000000" w:sz="12" w:space="0"/>
              <w:right w:val="single" w:color="000000" w:sz="12" w:space="0"/>
            </w:tcBorders>
            <w:vAlign w:val="center"/>
          </w:tcPr>
          <w:p>
            <w:pPr>
              <w:jc w:val="center"/>
              <w:rPr>
                <w:rFonts w:hint="eastAsia" w:ascii="宋体" w:eastAsia="宋体" w:cs="Times New Roman"/>
                <w:b/>
                <w:bCs/>
                <w:color w:val="000000"/>
                <w:sz w:val="16"/>
                <w:szCs w:val="16"/>
                <w:lang w:val="en-US" w:eastAsia="zh-CN"/>
              </w:rPr>
            </w:pPr>
            <w:r>
              <w:rPr>
                <w:rFonts w:hint="eastAsia" w:ascii="宋体" w:cs="Times New Roman"/>
                <w:b/>
                <w:bCs/>
                <w:color w:val="000000"/>
                <w:sz w:val="16"/>
                <w:szCs w:val="16"/>
                <w:lang w:val="en-US" w:eastAsia="zh-CN"/>
              </w:rPr>
              <w:t>3156.86</w:t>
            </w:r>
          </w:p>
        </w:tc>
      </w:tr>
      <w:tr>
        <w:trPr>
          <w:trHeight w:val="555" w:hRule="atLeast"/>
        </w:trPr>
        <w:tc>
          <w:tcPr>
            <w:tcW w:w="10350" w:type="dxa"/>
            <w:gridSpan w:val="10"/>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注：本表反映部门本年度的总收支和年末结转结余情况。</w:t>
            </w:r>
          </w:p>
        </w:tc>
      </w:tr>
    </w:tbl>
    <w:p>
      <w:pPr>
        <w:spacing w:line="360" w:lineRule="auto"/>
        <w:rPr>
          <w:rFonts w:ascii="隶书" w:hAnsi="隶书" w:eastAsia="隶书" w:cs="Times New Roman"/>
          <w:sz w:val="52"/>
          <w:szCs w:val="52"/>
        </w:rPr>
        <w:sectPr>
          <w:pgSz w:w="11906" w:h="16838"/>
          <w:pgMar w:top="1440" w:right="1800" w:bottom="1440" w:left="1800" w:header="851" w:footer="992" w:gutter="0"/>
          <w:pgNumType w:fmt="numberInDash"/>
          <w:cols w:space="720" w:num="1"/>
          <w:docGrid w:type="lines" w:linePitch="312"/>
        </w:sectPr>
      </w:pPr>
    </w:p>
    <w:tbl>
      <w:tblPr>
        <w:tblW w:w="10337"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75"/>
        <w:gridCol w:w="962"/>
        <w:gridCol w:w="1036"/>
        <w:gridCol w:w="1094"/>
        <w:gridCol w:w="810"/>
        <w:gridCol w:w="284"/>
        <w:gridCol w:w="676"/>
        <w:gridCol w:w="418"/>
        <w:gridCol w:w="542"/>
        <w:gridCol w:w="552"/>
        <w:gridCol w:w="408"/>
        <w:gridCol w:w="686"/>
        <w:gridCol w:w="274"/>
        <w:gridCol w:w="820"/>
        <w:gridCol w:w="140"/>
        <w:gridCol w:w="960"/>
      </w:tblGrid>
      <w:tr>
        <w:trPr>
          <w:trHeight w:val="375" w:hRule="atLeast"/>
        </w:trPr>
        <w:tc>
          <w:tcPr>
            <w:tcW w:w="10337" w:type="dxa"/>
            <w:gridSpan w:val="16"/>
            <w:vAlign w:val="center"/>
          </w:tcPr>
          <w:p>
            <w:pPr>
              <w:widowControl/>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收入决算表</w:t>
            </w:r>
          </w:p>
        </w:tc>
      </w:tr>
      <w:tr>
        <w:trPr>
          <w:trHeight w:val="285" w:hRule="atLeast"/>
        </w:trPr>
        <w:tc>
          <w:tcPr>
            <w:tcW w:w="1637" w:type="dxa"/>
            <w:gridSpan w:val="2"/>
            <w:vAlign w:val="center"/>
          </w:tcPr>
          <w:p>
            <w:pPr>
              <w:rPr>
                <w:rFonts w:ascii="宋体" w:cs="Times New Roman"/>
                <w:color w:val="000000"/>
                <w:sz w:val="16"/>
                <w:szCs w:val="16"/>
              </w:rPr>
            </w:pPr>
          </w:p>
        </w:tc>
        <w:tc>
          <w:tcPr>
            <w:tcW w:w="1036" w:type="dxa"/>
            <w:vAlign w:val="center"/>
          </w:tcPr>
          <w:p>
            <w:pPr>
              <w:rPr>
                <w:rFonts w:ascii="宋体" w:cs="Times New Roman"/>
                <w:color w:val="000000"/>
                <w:sz w:val="16"/>
                <w:szCs w:val="16"/>
              </w:rPr>
            </w:pPr>
          </w:p>
        </w:tc>
        <w:tc>
          <w:tcPr>
            <w:tcW w:w="1904"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02</w:t>
            </w:r>
            <w:r>
              <w:rPr>
                <w:rFonts w:hint="eastAsia" w:ascii="宋体" w:hAnsi="宋体" w:cs="宋体"/>
                <w:color w:val="000000"/>
                <w:kern w:val="0"/>
                <w:sz w:val="16"/>
                <w:szCs w:val="16"/>
              </w:rPr>
              <w:t>表</w:t>
            </w:r>
          </w:p>
        </w:tc>
      </w:tr>
      <w:tr>
        <w:trPr>
          <w:trHeight w:val="270" w:hRule="atLeast"/>
        </w:trPr>
        <w:tc>
          <w:tcPr>
            <w:tcW w:w="1637" w:type="dxa"/>
            <w:gridSpan w:val="2"/>
            <w:vAlign w:val="center"/>
          </w:tcPr>
          <w:p>
            <w:pPr>
              <w:rPr>
                <w:rFonts w:ascii="宋体" w:cs="Times New Roman"/>
                <w:color w:val="000000"/>
                <w:sz w:val="16"/>
                <w:szCs w:val="16"/>
              </w:rPr>
            </w:pPr>
          </w:p>
        </w:tc>
        <w:tc>
          <w:tcPr>
            <w:tcW w:w="1036" w:type="dxa"/>
            <w:vAlign w:val="center"/>
          </w:tcPr>
          <w:p>
            <w:pPr>
              <w:rPr>
                <w:rFonts w:ascii="宋体" w:cs="Times New Roman"/>
                <w:color w:val="000000"/>
                <w:sz w:val="16"/>
                <w:szCs w:val="16"/>
              </w:rPr>
            </w:pPr>
          </w:p>
        </w:tc>
        <w:tc>
          <w:tcPr>
            <w:tcW w:w="1904"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gridSpan w:val="2"/>
            <w:vAlign w:val="center"/>
          </w:tcPr>
          <w:p>
            <w:pPr>
              <w:rPr>
                <w:rFonts w:ascii="宋体" w:cs="Times New Roman"/>
                <w:color w:val="000000"/>
                <w:sz w:val="16"/>
                <w:szCs w:val="16"/>
              </w:rPr>
            </w:pPr>
          </w:p>
        </w:tc>
        <w:tc>
          <w:tcPr>
            <w:tcW w:w="960"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rPr>
          <w:trHeight w:val="285" w:hRule="atLeast"/>
        </w:trPr>
        <w:tc>
          <w:tcPr>
            <w:tcW w:w="2673"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目</w:t>
            </w:r>
          </w:p>
        </w:tc>
        <w:tc>
          <w:tcPr>
            <w:tcW w:w="1094"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本年收入合计</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财政拨款收入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上级补助收入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事业收入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经营收入</w:t>
            </w:r>
          </w:p>
        </w:tc>
        <w:tc>
          <w:tcPr>
            <w:tcW w:w="1094"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附属单位</w:t>
            </w:r>
            <w:r>
              <w:rPr>
                <w:rFonts w:ascii="宋体" w:cs="Times New Roman"/>
                <w:b/>
                <w:bCs/>
                <w:color w:val="000000"/>
                <w:kern w:val="0"/>
                <w:sz w:val="16"/>
                <w:szCs w:val="16"/>
              </w:rPr>
              <w:br/>
            </w:r>
            <w:r>
              <w:rPr>
                <w:rFonts w:hint="eastAsia" w:ascii="宋体" w:hAnsi="宋体" w:cs="宋体"/>
                <w:b/>
                <w:bCs/>
                <w:color w:val="000000"/>
                <w:kern w:val="0"/>
                <w:sz w:val="16"/>
                <w:szCs w:val="16"/>
              </w:rPr>
              <w:t>上缴收入</w:t>
            </w:r>
          </w:p>
        </w:tc>
        <w:tc>
          <w:tcPr>
            <w:tcW w:w="1100" w:type="dxa"/>
            <w:gridSpan w:val="2"/>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其他收入</w:t>
            </w: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r>
            <w:r>
              <w:rPr>
                <w:rFonts w:hint="eastAsia" w:ascii="宋体" w:hAnsi="宋体" w:cs="宋体"/>
                <w:b/>
                <w:bCs/>
                <w:color w:val="000000"/>
                <w:kern w:val="0"/>
                <w:sz w:val="16"/>
                <w:szCs w:val="16"/>
              </w:rPr>
              <w:t>科目编码</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094"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094"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100" w:type="dxa"/>
            <w:gridSpan w:val="2"/>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109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7</w:t>
            </w:r>
          </w:p>
        </w:tc>
      </w:tr>
      <w:tr>
        <w:trPr>
          <w:trHeight w:val="285" w:hRule="atLeast"/>
        </w:trPr>
        <w:tc>
          <w:tcPr>
            <w:tcW w:w="2673"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b/>
                <w:bCs/>
                <w:color w:val="000000"/>
                <w:sz w:val="16"/>
                <w:szCs w:val="16"/>
                <w:lang w:val="en-US" w:eastAsia="zh-CN"/>
              </w:rPr>
            </w:pPr>
            <w:r>
              <w:rPr>
                <w:rFonts w:hint="eastAsia" w:ascii="宋体" w:cs="Times New Roman"/>
                <w:b/>
                <w:bCs/>
                <w:color w:val="000000"/>
                <w:sz w:val="16"/>
                <w:szCs w:val="16"/>
                <w:lang w:val="en-US" w:eastAsia="zh-CN"/>
              </w:rPr>
              <w:t>2964.05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b/>
                <w:bCs/>
                <w:color w:val="000000"/>
                <w:sz w:val="16"/>
                <w:szCs w:val="16"/>
                <w:lang w:val="en-US" w:eastAsia="zh-CN"/>
              </w:rPr>
            </w:pPr>
            <w:r>
              <w:rPr>
                <w:rFonts w:hint="eastAsia" w:ascii="宋体" w:cs="Times New Roman"/>
                <w:b/>
                <w:bCs/>
                <w:color w:val="000000"/>
                <w:sz w:val="16"/>
                <w:szCs w:val="16"/>
                <w:lang w:val="en-US" w:eastAsia="zh-CN"/>
              </w:rPr>
              <w:t>2964.05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b/>
                <w:bCs/>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201</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一般公共服务支出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b/>
                <w:bCs/>
                <w:color w:val="000000"/>
                <w:sz w:val="16"/>
                <w:szCs w:val="16"/>
                <w:lang w:val="en-US" w:eastAsia="zh-CN"/>
              </w:rPr>
            </w:pPr>
            <w:r>
              <w:rPr>
                <w:rFonts w:hint="eastAsia" w:ascii="宋体" w:cs="Times New Roman"/>
                <w:b/>
                <w:bCs/>
                <w:color w:val="000000"/>
                <w:sz w:val="16"/>
                <w:szCs w:val="16"/>
                <w:lang w:val="en-US" w:eastAsia="zh-CN"/>
              </w:rPr>
              <w:t>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b/>
                <w:bCs/>
                <w:color w:val="000000"/>
                <w:sz w:val="16"/>
                <w:szCs w:val="16"/>
                <w:lang w:val="en-US" w:eastAsia="zh-CN"/>
              </w:rPr>
            </w:pPr>
            <w:r>
              <w:rPr>
                <w:rFonts w:hint="eastAsia" w:ascii="宋体" w:cs="Times New Roman"/>
                <w:b/>
                <w:bCs/>
                <w:color w:val="000000"/>
                <w:sz w:val="16"/>
                <w:szCs w:val="16"/>
                <w:lang w:val="en-US" w:eastAsia="zh-CN"/>
              </w:rPr>
              <w:t>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b/>
                <w:bCs/>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201</w:t>
            </w:r>
            <w:r>
              <w:rPr>
                <w:rFonts w:hint="eastAsia" w:ascii="宋体" w:hAnsi="宋体" w:cs="宋体"/>
                <w:color w:val="000000"/>
                <w:kern w:val="0"/>
                <w:sz w:val="16"/>
                <w:szCs w:val="16"/>
                <w:lang w:val="en-US" w:eastAsia="zh-CN"/>
              </w:rPr>
              <w:t>03</w:t>
            </w:r>
          </w:p>
        </w:tc>
        <w:tc>
          <w:tcPr>
            <w:tcW w:w="1998"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cs="Times New Roman"/>
                <w:color w:val="000000"/>
                <w:sz w:val="16"/>
                <w:szCs w:val="16"/>
              </w:rPr>
            </w:pPr>
            <w:r>
              <w:rPr>
                <w:rFonts w:hint="default" w:ascii="宋体" w:hAnsi="宋体" w:cs="宋体"/>
                <w:color w:val="000000"/>
                <w:kern w:val="0"/>
                <w:sz w:val="16"/>
                <w:szCs w:val="16"/>
                <w:lang w:eastAsia="zh-CN"/>
              </w:rPr>
              <w:t>政府办公厅（室）及相关机构事务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2010</w:t>
            </w:r>
            <w:r>
              <w:rPr>
                <w:rFonts w:hint="eastAsia" w:ascii="宋体" w:hAnsi="宋体" w:cs="宋体"/>
                <w:color w:val="000000"/>
                <w:kern w:val="0"/>
                <w:sz w:val="16"/>
                <w:szCs w:val="16"/>
                <w:lang w:val="en-US" w:eastAsia="zh-CN"/>
              </w:rPr>
              <w:t>308</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lang w:eastAsia="zh-CN"/>
              </w:rPr>
              <w:t>信访事物</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2</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w:t>
            </w:r>
            <w:r>
              <w:rPr>
                <w:rFonts w:hint="eastAsia" w:ascii="宋体" w:hAnsi="宋体" w:cs="宋体"/>
                <w:color w:val="000000"/>
                <w:kern w:val="0"/>
                <w:sz w:val="16"/>
                <w:szCs w:val="16"/>
                <w:lang w:val="en-US" w:eastAsia="zh-CN"/>
              </w:rPr>
              <w:t>12</w:t>
            </w:r>
          </w:p>
        </w:tc>
        <w:tc>
          <w:tcPr>
            <w:tcW w:w="1998"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cs="宋体"/>
                <w:color w:val="000000"/>
                <w:kern w:val="0"/>
                <w:sz w:val="16"/>
                <w:szCs w:val="16"/>
                <w:lang w:eastAsia="zh-CN"/>
              </w:rPr>
              <w:t>城乡社区支出</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2962.05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2962.05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w:t>
            </w:r>
            <w:r>
              <w:rPr>
                <w:rFonts w:hint="eastAsia" w:ascii="宋体" w:hAnsi="宋体" w:cs="宋体"/>
                <w:color w:val="000000"/>
                <w:kern w:val="0"/>
                <w:sz w:val="16"/>
                <w:szCs w:val="16"/>
                <w:lang w:val="en-US" w:eastAsia="zh-CN"/>
              </w:rPr>
              <w:t>1201</w:t>
            </w:r>
          </w:p>
        </w:tc>
        <w:tc>
          <w:tcPr>
            <w:tcW w:w="1998"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hint="default" w:ascii="宋体" w:hAnsi="宋体" w:cs="宋体"/>
                <w:color w:val="000000"/>
                <w:kern w:val="0"/>
                <w:sz w:val="16"/>
                <w:szCs w:val="16"/>
                <w:lang w:eastAsia="zh-CN"/>
              </w:rPr>
            </w:pPr>
            <w:r>
              <w:rPr>
                <w:rFonts w:hint="default" w:ascii="宋体" w:hAnsi="宋体" w:cs="宋体"/>
                <w:color w:val="000000"/>
                <w:kern w:val="0"/>
                <w:sz w:val="16"/>
                <w:szCs w:val="16"/>
                <w:lang w:eastAsia="zh-CN"/>
              </w:rPr>
              <w:t>城乡社区管理事务</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2962.05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2962.05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285"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2120101</w:t>
            </w:r>
          </w:p>
        </w:tc>
        <w:tc>
          <w:tcPr>
            <w:tcW w:w="1998"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hint="default" w:ascii="宋体" w:hAnsi="宋体" w:cs="宋体"/>
                <w:color w:val="000000"/>
                <w:kern w:val="0"/>
                <w:sz w:val="16"/>
                <w:szCs w:val="16"/>
                <w:lang w:eastAsia="zh-CN"/>
              </w:rPr>
            </w:pPr>
            <w:r>
              <w:rPr>
                <w:rFonts w:hint="default" w:ascii="宋体" w:hAnsi="宋体" w:cs="宋体"/>
                <w:color w:val="000000"/>
                <w:kern w:val="0"/>
                <w:sz w:val="16"/>
                <w:szCs w:val="16"/>
                <w:lang w:eastAsia="zh-CN"/>
              </w:rPr>
              <w:t xml:space="preserve">  行政运行</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2962.05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2962.05</w:t>
            </w: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420" w:hRule="atLeast"/>
        </w:trPr>
        <w:tc>
          <w:tcPr>
            <w:tcW w:w="67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109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100" w:type="dxa"/>
            <w:gridSpan w:val="2"/>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435" w:hRule="atLeast"/>
        </w:trPr>
        <w:tc>
          <w:tcPr>
            <w:tcW w:w="67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1998"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p>
        </w:tc>
        <w:tc>
          <w:tcPr>
            <w:tcW w:w="1094"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1094"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1100" w:type="dxa"/>
            <w:gridSpan w:val="2"/>
            <w:tcBorders>
              <w:top w:val="single" w:color="000000" w:sz="4" w:space="0"/>
              <w:left w:val="single" w:color="000000" w:sz="4" w:space="0"/>
              <w:bottom w:val="single" w:color="000000" w:sz="12" w:space="0"/>
              <w:right w:val="single" w:color="000000" w:sz="12" w:space="0"/>
            </w:tcBorders>
            <w:vAlign w:val="center"/>
          </w:tcPr>
          <w:p>
            <w:pPr>
              <w:jc w:val="right"/>
              <w:rPr>
                <w:rFonts w:ascii="宋体" w:cs="Times New Roman"/>
                <w:color w:val="000000"/>
                <w:sz w:val="16"/>
                <w:szCs w:val="16"/>
              </w:rPr>
            </w:pPr>
          </w:p>
        </w:tc>
      </w:tr>
      <w:tr>
        <w:trPr>
          <w:trHeight w:val="285" w:hRule="atLeast"/>
        </w:trPr>
        <w:tc>
          <w:tcPr>
            <w:tcW w:w="10337" w:type="dxa"/>
            <w:gridSpan w:val="16"/>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注：本表反映部门本年度取得的各项收入情况。</w:t>
            </w:r>
          </w:p>
        </w:tc>
      </w:tr>
    </w:tbl>
    <w:p>
      <w:pPr>
        <w:spacing w:line="360" w:lineRule="auto"/>
        <w:jc w:val="center"/>
        <w:rPr>
          <w:rFonts w:ascii="隶书" w:hAnsi="隶书" w:eastAsia="隶书" w:cs="Times New Roman"/>
          <w:sz w:val="52"/>
          <w:szCs w:val="52"/>
        </w:rPr>
        <w:sectPr>
          <w:pgSz w:w="11906" w:h="16838"/>
          <w:pgMar w:top="2098" w:right="1531" w:bottom="1984" w:left="1587" w:header="850" w:footer="992" w:gutter="0"/>
          <w:pgNumType w:fmt="numberInDash"/>
          <w:cols w:space="720" w:num="1"/>
          <w:docGrid w:type="lines" w:linePitch="317"/>
        </w:sectPr>
      </w:pPr>
    </w:p>
    <w:tbl>
      <w:tblPr>
        <w:tblW w:w="10350"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35"/>
        <w:gridCol w:w="747"/>
        <w:gridCol w:w="1638"/>
        <w:gridCol w:w="1042"/>
        <w:gridCol w:w="163"/>
        <w:gridCol w:w="836"/>
        <w:gridCol w:w="369"/>
        <w:gridCol w:w="630"/>
        <w:gridCol w:w="575"/>
        <w:gridCol w:w="424"/>
        <w:gridCol w:w="781"/>
        <w:gridCol w:w="218"/>
        <w:gridCol w:w="987"/>
        <w:gridCol w:w="1205"/>
      </w:tblGrid>
      <w:tr>
        <w:trPr>
          <w:trHeight w:val="375" w:hRule="atLeast"/>
        </w:trPr>
        <w:tc>
          <w:tcPr>
            <w:tcW w:w="10350" w:type="dxa"/>
            <w:gridSpan w:val="14"/>
            <w:vAlign w:val="center"/>
          </w:tcPr>
          <w:p>
            <w:pPr>
              <w:widowControl/>
              <w:jc w:val="center"/>
              <w:textAlignment w:val="center"/>
              <w:rPr>
                <w:rFonts w:ascii="黑体" w:hAnsi="宋体" w:eastAsia="黑体" w:cs="Times New Roman"/>
                <w:color w:val="000000"/>
                <w:sz w:val="28"/>
                <w:szCs w:val="28"/>
              </w:rPr>
            </w:pPr>
            <w:r>
              <w:rPr>
                <w:rFonts w:hint="eastAsia" w:ascii="黑体" w:hAnsi="宋体" w:eastAsia="黑体" w:cs="黑体"/>
                <w:color w:val="000000"/>
                <w:kern w:val="0"/>
                <w:sz w:val="28"/>
                <w:szCs w:val="28"/>
              </w:rPr>
              <w:t>支出决算表</w:t>
            </w:r>
          </w:p>
        </w:tc>
      </w:tr>
      <w:tr>
        <w:trPr>
          <w:trHeight w:val="315" w:hRule="atLeast"/>
        </w:trPr>
        <w:tc>
          <w:tcPr>
            <w:tcW w:w="1482" w:type="dxa"/>
            <w:gridSpan w:val="2"/>
            <w:vAlign w:val="center"/>
          </w:tcPr>
          <w:p>
            <w:pPr>
              <w:rPr>
                <w:rFonts w:ascii="宋体" w:cs="Times New Roman"/>
                <w:color w:val="000000"/>
                <w:sz w:val="16"/>
                <w:szCs w:val="16"/>
              </w:rPr>
            </w:pPr>
          </w:p>
        </w:tc>
        <w:tc>
          <w:tcPr>
            <w:tcW w:w="1638" w:type="dxa"/>
            <w:vAlign w:val="center"/>
          </w:tcPr>
          <w:p>
            <w:pPr>
              <w:rPr>
                <w:rFonts w:ascii="宋体" w:cs="Times New Roman"/>
                <w:color w:val="000000"/>
                <w:sz w:val="16"/>
                <w:szCs w:val="16"/>
              </w:rPr>
            </w:pPr>
          </w:p>
        </w:tc>
        <w:tc>
          <w:tcPr>
            <w:tcW w:w="1042" w:type="dxa"/>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2192"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03</w:t>
            </w:r>
            <w:r>
              <w:rPr>
                <w:rFonts w:hint="eastAsia" w:ascii="宋体" w:hAnsi="宋体" w:cs="宋体"/>
                <w:color w:val="000000"/>
                <w:kern w:val="0"/>
                <w:sz w:val="16"/>
                <w:szCs w:val="16"/>
              </w:rPr>
              <w:t>表</w:t>
            </w:r>
          </w:p>
        </w:tc>
      </w:tr>
      <w:tr>
        <w:trPr>
          <w:trHeight w:val="315" w:hRule="atLeast"/>
        </w:trPr>
        <w:tc>
          <w:tcPr>
            <w:tcW w:w="1482" w:type="dxa"/>
            <w:gridSpan w:val="2"/>
            <w:vAlign w:val="center"/>
          </w:tcPr>
          <w:p>
            <w:pPr>
              <w:rPr>
                <w:rFonts w:ascii="宋体" w:cs="Times New Roman"/>
                <w:color w:val="000000"/>
                <w:sz w:val="16"/>
                <w:szCs w:val="16"/>
              </w:rPr>
            </w:pPr>
          </w:p>
        </w:tc>
        <w:tc>
          <w:tcPr>
            <w:tcW w:w="1638" w:type="dxa"/>
            <w:vAlign w:val="center"/>
          </w:tcPr>
          <w:p>
            <w:pPr>
              <w:rPr>
                <w:rFonts w:ascii="宋体" w:cs="Times New Roman"/>
                <w:color w:val="000000"/>
                <w:sz w:val="16"/>
                <w:szCs w:val="16"/>
              </w:rPr>
            </w:pPr>
          </w:p>
        </w:tc>
        <w:tc>
          <w:tcPr>
            <w:tcW w:w="1042" w:type="dxa"/>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2192"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rPr>
          <w:trHeight w:val="300" w:hRule="atLeast"/>
        </w:trPr>
        <w:tc>
          <w:tcPr>
            <w:tcW w:w="3120"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基本支出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上缴上级支出</w:t>
            </w:r>
          </w:p>
        </w:tc>
        <w:tc>
          <w:tcPr>
            <w:tcW w:w="1205"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经营支出</w:t>
            </w:r>
          </w:p>
        </w:tc>
        <w:tc>
          <w:tcPr>
            <w:tcW w:w="1205"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对附属单位</w:t>
            </w:r>
            <w:r>
              <w:rPr>
                <w:rFonts w:ascii="宋体" w:cs="Times New Roman"/>
                <w:b/>
                <w:bCs/>
                <w:color w:val="000000"/>
                <w:kern w:val="0"/>
                <w:sz w:val="16"/>
                <w:szCs w:val="16"/>
              </w:rPr>
              <w:br/>
            </w:r>
            <w:r>
              <w:rPr>
                <w:rFonts w:hint="eastAsia" w:ascii="宋体" w:hAnsi="宋体" w:cs="宋体"/>
                <w:b/>
                <w:bCs/>
                <w:color w:val="000000"/>
                <w:kern w:val="0"/>
                <w:sz w:val="16"/>
                <w:szCs w:val="16"/>
              </w:rPr>
              <w:t>补助支出</w:t>
            </w:r>
          </w:p>
        </w:tc>
      </w:tr>
      <w:tr>
        <w:trPr>
          <w:trHeight w:val="6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r>
            <w:r>
              <w:rPr>
                <w:rFonts w:hint="eastAsia" w:ascii="宋体" w:hAnsi="宋体" w:cs="宋体"/>
                <w:b/>
                <w:bCs/>
                <w:color w:val="000000"/>
                <w:kern w:val="0"/>
                <w:sz w:val="16"/>
                <w:szCs w:val="16"/>
              </w:rPr>
              <w:t>科目编码</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05"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05"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r>
      <w:tr>
        <w:trPr>
          <w:trHeight w:val="300" w:hRule="atLeast"/>
        </w:trPr>
        <w:tc>
          <w:tcPr>
            <w:tcW w:w="3120"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lang w:val="en-US" w:eastAsia="zh-CN"/>
              </w:rPr>
              <w:t>2873.28</w:t>
            </w:r>
            <w:r>
              <w:rPr>
                <w:rFonts w:ascii="宋体" w:hAnsi="宋体" w:cs="宋体"/>
                <w:b/>
                <w:bCs/>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lang w:val="en-US" w:eastAsia="zh-CN"/>
              </w:rPr>
              <w:t>2873.28</w:t>
            </w:r>
            <w:r>
              <w:rPr>
                <w:rFonts w:ascii="宋体" w:hAnsi="宋体" w:cs="宋体"/>
                <w:b/>
                <w:bCs/>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201</w:t>
            </w:r>
          </w:p>
        </w:tc>
        <w:tc>
          <w:tcPr>
            <w:tcW w:w="238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一般公共服务支出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lang w:val="en-US" w:eastAsia="zh-CN"/>
              </w:rPr>
              <w:t>2</w:t>
            </w:r>
            <w:r>
              <w:rPr>
                <w:rFonts w:ascii="宋体" w:hAnsi="宋体" w:cs="宋体"/>
                <w:b/>
                <w:bCs/>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lang w:val="en-US" w:eastAsia="zh-CN"/>
              </w:rPr>
              <w:t>2</w:t>
            </w:r>
            <w:r>
              <w:rPr>
                <w:rFonts w:ascii="宋体" w:hAnsi="宋体" w:cs="宋体"/>
                <w:b/>
                <w:bCs/>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2010</w:t>
            </w:r>
            <w:r>
              <w:rPr>
                <w:rFonts w:hint="eastAsia" w:ascii="宋体" w:hAnsi="宋体" w:cs="宋体"/>
                <w:color w:val="000000"/>
                <w:kern w:val="0"/>
                <w:sz w:val="16"/>
                <w:szCs w:val="16"/>
                <w:lang w:val="en-US" w:eastAsia="zh-CN"/>
              </w:rPr>
              <w:t>3</w:t>
            </w:r>
          </w:p>
        </w:tc>
        <w:tc>
          <w:tcPr>
            <w:tcW w:w="238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cs="Times New Roman"/>
                <w:color w:val="000000"/>
                <w:sz w:val="16"/>
                <w:szCs w:val="16"/>
              </w:rPr>
            </w:pPr>
            <w:r>
              <w:rPr>
                <w:rFonts w:hint="default" w:ascii="宋体" w:hAnsi="宋体" w:cs="宋体"/>
                <w:color w:val="000000"/>
                <w:kern w:val="0"/>
                <w:sz w:val="16"/>
                <w:szCs w:val="16"/>
                <w:lang w:eastAsia="zh-CN"/>
              </w:rPr>
              <w:t>政府办公厅（室）及相关机构事务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w:t>
            </w: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w:t>
            </w: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2010</w:t>
            </w:r>
            <w:r>
              <w:rPr>
                <w:rFonts w:hint="eastAsia" w:ascii="宋体" w:hAnsi="宋体" w:cs="宋体"/>
                <w:color w:val="000000"/>
                <w:kern w:val="0"/>
                <w:sz w:val="16"/>
                <w:szCs w:val="16"/>
                <w:lang w:val="en-US" w:eastAsia="zh-CN"/>
              </w:rPr>
              <w:t>308</w:t>
            </w:r>
          </w:p>
        </w:tc>
        <w:tc>
          <w:tcPr>
            <w:tcW w:w="238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lang w:eastAsia="zh-CN"/>
              </w:rPr>
              <w:t>信访事物</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w:t>
            </w: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w:t>
            </w: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w:t>
            </w:r>
            <w:r>
              <w:rPr>
                <w:rFonts w:hint="eastAsia" w:ascii="宋体" w:hAnsi="宋体" w:cs="宋体"/>
                <w:color w:val="000000"/>
                <w:kern w:val="0"/>
                <w:sz w:val="16"/>
                <w:szCs w:val="16"/>
                <w:lang w:val="en-US" w:eastAsia="zh-CN"/>
              </w:rPr>
              <w:t>12</w:t>
            </w:r>
          </w:p>
        </w:tc>
        <w:tc>
          <w:tcPr>
            <w:tcW w:w="238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cs="宋体"/>
                <w:b/>
                <w:bCs/>
                <w:color w:val="000000"/>
                <w:kern w:val="0"/>
                <w:sz w:val="16"/>
                <w:szCs w:val="16"/>
                <w:lang w:eastAsia="zh-CN"/>
              </w:rPr>
              <w:t>城乡社区支出</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2871.28</w:t>
            </w: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2871.28</w:t>
            </w: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w:t>
            </w:r>
            <w:r>
              <w:rPr>
                <w:rFonts w:hint="eastAsia" w:ascii="宋体" w:hAnsi="宋体" w:cs="宋体"/>
                <w:color w:val="000000"/>
                <w:kern w:val="0"/>
                <w:sz w:val="16"/>
                <w:szCs w:val="16"/>
                <w:lang w:val="en-US" w:eastAsia="zh-CN"/>
              </w:rPr>
              <w:t>1201</w:t>
            </w:r>
          </w:p>
        </w:tc>
        <w:tc>
          <w:tcPr>
            <w:tcW w:w="238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cs="宋体"/>
                <w:color w:val="000000"/>
                <w:kern w:val="0"/>
                <w:sz w:val="16"/>
                <w:szCs w:val="16"/>
                <w:lang w:eastAsia="zh-CN"/>
              </w:rPr>
              <w:t>城乡社区管理事务</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2871.28</w:t>
            </w: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2871.28</w:t>
            </w: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w:t>
            </w:r>
            <w:r>
              <w:rPr>
                <w:rFonts w:hint="eastAsia" w:ascii="宋体" w:hAnsi="宋体" w:cs="宋体"/>
                <w:color w:val="000000"/>
                <w:kern w:val="0"/>
                <w:sz w:val="16"/>
                <w:szCs w:val="16"/>
                <w:lang w:val="en-US" w:eastAsia="zh-CN"/>
              </w:rPr>
              <w:t>120101</w:t>
            </w:r>
          </w:p>
        </w:tc>
        <w:tc>
          <w:tcPr>
            <w:tcW w:w="238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cs="宋体"/>
                <w:color w:val="000000"/>
                <w:kern w:val="0"/>
                <w:sz w:val="16"/>
                <w:szCs w:val="16"/>
                <w:lang w:eastAsia="zh-CN"/>
              </w:rPr>
              <w:t xml:space="preserve">  行政运行</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2871.28</w:t>
            </w: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2871.28</w:t>
            </w: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38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05"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rPr>
          <w:trHeight w:val="300" w:hRule="atLeast"/>
        </w:trPr>
        <w:tc>
          <w:tcPr>
            <w:tcW w:w="73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38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05"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Times New Roman"/>
                <w:color w:val="000000"/>
                <w:sz w:val="16"/>
                <w:szCs w:val="16"/>
              </w:rPr>
            </w:pPr>
          </w:p>
        </w:tc>
      </w:tr>
      <w:tr>
        <w:trPr>
          <w:trHeight w:val="360" w:hRule="atLeast"/>
        </w:trPr>
        <w:tc>
          <w:tcPr>
            <w:tcW w:w="10350" w:type="dxa"/>
            <w:gridSpan w:val="14"/>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注：本表反映部门本年度各项支出情况。</w:t>
            </w:r>
          </w:p>
        </w:tc>
      </w:tr>
    </w:tbl>
    <w:p>
      <w:pPr>
        <w:spacing w:line="360" w:lineRule="auto"/>
        <w:jc w:val="center"/>
        <w:rPr>
          <w:rFonts w:ascii="隶书" w:hAnsi="隶书" w:eastAsia="隶书" w:cs="Times New Roman"/>
          <w:sz w:val="52"/>
          <w:szCs w:val="52"/>
        </w:rPr>
        <w:sectPr>
          <w:pgSz w:w="11906" w:h="16838"/>
          <w:pgMar w:top="2098" w:right="1474" w:bottom="1984" w:left="1587" w:header="850" w:footer="992" w:gutter="0"/>
          <w:pgNumType w:fmt="numberInDash"/>
          <w:cols w:space="720" w:num="1"/>
          <w:docGrid w:type="lines" w:linePitch="318"/>
        </w:sectPr>
      </w:pPr>
    </w:p>
    <w:tbl>
      <w:tblPr>
        <w:tblW w:w="10425"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145"/>
        <w:gridCol w:w="144"/>
        <w:gridCol w:w="261"/>
        <w:gridCol w:w="54"/>
        <w:gridCol w:w="1416"/>
        <w:gridCol w:w="1432"/>
        <w:gridCol w:w="316"/>
        <w:gridCol w:w="337"/>
        <w:gridCol w:w="420"/>
        <w:gridCol w:w="242"/>
        <w:gridCol w:w="999"/>
        <w:gridCol w:w="59"/>
        <w:gridCol w:w="1300"/>
        <w:gridCol w:w="1300"/>
      </w:tblGrid>
      <w:tr>
        <w:trPr>
          <w:trHeight w:val="169" w:hRule="atLeast"/>
        </w:trPr>
        <w:tc>
          <w:tcPr>
            <w:tcW w:w="10425" w:type="dxa"/>
            <w:gridSpan w:val="14"/>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财政拨款收入支出决算表</w:t>
            </w:r>
          </w:p>
        </w:tc>
      </w:tr>
      <w:tr>
        <w:trPr>
          <w:trHeight w:val="107" w:hRule="atLeast"/>
        </w:trPr>
        <w:tc>
          <w:tcPr>
            <w:tcW w:w="2289" w:type="dxa"/>
            <w:gridSpan w:val="2"/>
            <w:vAlign w:val="center"/>
          </w:tcPr>
          <w:p>
            <w:pPr>
              <w:rPr>
                <w:rFonts w:ascii="宋体" w:cs="Times New Roman"/>
                <w:color w:val="000000"/>
                <w:sz w:val="16"/>
                <w:szCs w:val="16"/>
              </w:rPr>
            </w:pPr>
          </w:p>
        </w:tc>
        <w:tc>
          <w:tcPr>
            <w:tcW w:w="315" w:type="dxa"/>
            <w:gridSpan w:val="2"/>
            <w:vAlign w:val="center"/>
          </w:tcPr>
          <w:p>
            <w:pPr>
              <w:rPr>
                <w:rFonts w:ascii="宋体" w:cs="Times New Roman"/>
                <w:color w:val="000000"/>
                <w:sz w:val="16"/>
                <w:szCs w:val="16"/>
              </w:rPr>
            </w:pPr>
          </w:p>
        </w:tc>
        <w:tc>
          <w:tcPr>
            <w:tcW w:w="1416" w:type="dxa"/>
            <w:vAlign w:val="center"/>
          </w:tcPr>
          <w:p>
            <w:pPr>
              <w:rPr>
                <w:rFonts w:ascii="宋体" w:cs="Times New Roman"/>
                <w:color w:val="000000"/>
                <w:sz w:val="16"/>
                <w:szCs w:val="16"/>
              </w:rPr>
            </w:pPr>
          </w:p>
        </w:tc>
        <w:tc>
          <w:tcPr>
            <w:tcW w:w="1432" w:type="dxa"/>
            <w:vAlign w:val="center"/>
          </w:tcPr>
          <w:p>
            <w:pPr>
              <w:rPr>
                <w:rFonts w:ascii="宋体" w:cs="Times New Roman"/>
                <w:color w:val="000000"/>
                <w:sz w:val="16"/>
                <w:szCs w:val="16"/>
              </w:rPr>
            </w:pPr>
          </w:p>
        </w:tc>
        <w:tc>
          <w:tcPr>
            <w:tcW w:w="316" w:type="dxa"/>
            <w:vAlign w:val="center"/>
          </w:tcPr>
          <w:p>
            <w:pPr>
              <w:rPr>
                <w:rFonts w:ascii="宋体" w:cs="Times New Roman"/>
                <w:color w:val="000000"/>
                <w:sz w:val="16"/>
                <w:szCs w:val="16"/>
              </w:rPr>
            </w:pPr>
          </w:p>
        </w:tc>
        <w:tc>
          <w:tcPr>
            <w:tcW w:w="999" w:type="dxa"/>
            <w:gridSpan w:val="3"/>
            <w:vAlign w:val="center"/>
          </w:tcPr>
          <w:p>
            <w:pPr>
              <w:jc w:val="right"/>
              <w:rPr>
                <w:rFonts w:ascii="宋体" w:cs="Times New Roman"/>
                <w:color w:val="000000"/>
                <w:sz w:val="16"/>
                <w:szCs w:val="16"/>
              </w:rPr>
            </w:pPr>
          </w:p>
        </w:tc>
        <w:tc>
          <w:tcPr>
            <w:tcW w:w="999" w:type="dxa"/>
            <w:vAlign w:val="center"/>
          </w:tcPr>
          <w:p>
            <w:pPr>
              <w:jc w:val="right"/>
              <w:rPr>
                <w:rFonts w:ascii="宋体" w:cs="Times New Roman"/>
                <w:color w:val="000000"/>
                <w:sz w:val="16"/>
                <w:szCs w:val="16"/>
              </w:rPr>
            </w:pPr>
          </w:p>
        </w:tc>
        <w:tc>
          <w:tcPr>
            <w:tcW w:w="2659" w:type="dxa"/>
            <w:gridSpan w:val="3"/>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04</w:t>
            </w:r>
            <w:r>
              <w:rPr>
                <w:rFonts w:hint="eastAsia" w:ascii="宋体" w:hAnsi="宋体" w:cs="宋体"/>
                <w:color w:val="000000"/>
                <w:kern w:val="0"/>
                <w:sz w:val="16"/>
                <w:szCs w:val="16"/>
              </w:rPr>
              <w:t>表</w:t>
            </w:r>
          </w:p>
        </w:tc>
      </w:tr>
      <w:tr>
        <w:trPr>
          <w:trHeight w:val="90" w:hRule="atLeast"/>
        </w:trPr>
        <w:tc>
          <w:tcPr>
            <w:tcW w:w="2289" w:type="dxa"/>
            <w:gridSpan w:val="2"/>
            <w:vAlign w:val="center"/>
          </w:tcPr>
          <w:p>
            <w:pPr>
              <w:rPr>
                <w:rFonts w:ascii="宋体" w:cs="Times New Roman"/>
                <w:color w:val="000000"/>
                <w:sz w:val="16"/>
                <w:szCs w:val="16"/>
              </w:rPr>
            </w:pPr>
          </w:p>
        </w:tc>
        <w:tc>
          <w:tcPr>
            <w:tcW w:w="315" w:type="dxa"/>
            <w:gridSpan w:val="2"/>
            <w:vAlign w:val="center"/>
          </w:tcPr>
          <w:p>
            <w:pPr>
              <w:rPr>
                <w:rFonts w:ascii="宋体" w:cs="Times New Roman"/>
                <w:color w:val="000000"/>
                <w:sz w:val="16"/>
                <w:szCs w:val="16"/>
              </w:rPr>
            </w:pPr>
          </w:p>
        </w:tc>
        <w:tc>
          <w:tcPr>
            <w:tcW w:w="1416" w:type="dxa"/>
            <w:vAlign w:val="center"/>
          </w:tcPr>
          <w:p>
            <w:pPr>
              <w:rPr>
                <w:rFonts w:ascii="宋体" w:cs="Times New Roman"/>
                <w:color w:val="000000"/>
                <w:sz w:val="16"/>
                <w:szCs w:val="16"/>
              </w:rPr>
            </w:pPr>
          </w:p>
        </w:tc>
        <w:tc>
          <w:tcPr>
            <w:tcW w:w="1432" w:type="dxa"/>
            <w:vAlign w:val="center"/>
          </w:tcPr>
          <w:p>
            <w:pPr>
              <w:rPr>
                <w:rFonts w:ascii="宋体" w:cs="Times New Roman"/>
                <w:color w:val="000000"/>
                <w:sz w:val="16"/>
                <w:szCs w:val="16"/>
              </w:rPr>
            </w:pPr>
          </w:p>
        </w:tc>
        <w:tc>
          <w:tcPr>
            <w:tcW w:w="316" w:type="dxa"/>
            <w:vAlign w:val="center"/>
          </w:tcPr>
          <w:p>
            <w:pPr>
              <w:rPr>
                <w:rFonts w:ascii="宋体" w:cs="Times New Roman"/>
                <w:color w:val="000000"/>
                <w:sz w:val="16"/>
                <w:szCs w:val="16"/>
              </w:rPr>
            </w:pPr>
          </w:p>
        </w:tc>
        <w:tc>
          <w:tcPr>
            <w:tcW w:w="999" w:type="dxa"/>
            <w:gridSpan w:val="3"/>
            <w:vAlign w:val="center"/>
          </w:tcPr>
          <w:p>
            <w:pPr>
              <w:jc w:val="right"/>
              <w:rPr>
                <w:rFonts w:ascii="宋体" w:cs="Times New Roman"/>
                <w:color w:val="000000"/>
                <w:sz w:val="16"/>
                <w:szCs w:val="16"/>
              </w:rPr>
            </w:pPr>
          </w:p>
        </w:tc>
        <w:tc>
          <w:tcPr>
            <w:tcW w:w="999" w:type="dxa"/>
            <w:vAlign w:val="center"/>
          </w:tcPr>
          <w:p>
            <w:pPr>
              <w:jc w:val="right"/>
              <w:rPr>
                <w:rFonts w:ascii="宋体" w:cs="Times New Roman"/>
                <w:color w:val="000000"/>
                <w:sz w:val="16"/>
                <w:szCs w:val="16"/>
              </w:rPr>
            </w:pPr>
          </w:p>
        </w:tc>
        <w:tc>
          <w:tcPr>
            <w:tcW w:w="2659" w:type="dxa"/>
            <w:gridSpan w:val="3"/>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rPr>
          <w:trHeight w:val="285" w:hRule="atLeast"/>
        </w:trPr>
        <w:tc>
          <w:tcPr>
            <w:tcW w:w="4020" w:type="dxa"/>
            <w:gridSpan w:val="5"/>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收　　入</w:t>
            </w:r>
          </w:p>
        </w:tc>
        <w:tc>
          <w:tcPr>
            <w:tcW w:w="6405" w:type="dxa"/>
            <w:gridSpan w:val="9"/>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支　　出</w:t>
            </w:r>
          </w:p>
        </w:tc>
      </w:tr>
      <w:tr>
        <w:trPr>
          <w:trHeight w:val="480"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行次</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一般公共预算财政拨款</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政府性基金预算财政拨款</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　　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w:t>
            </w:r>
            <w:r>
              <w:rPr>
                <w:rFonts w:ascii="宋体" w:hAnsi="宋体" w:cs="宋体"/>
                <w:b/>
                <w:bCs/>
                <w:color w:val="000000"/>
                <w:kern w:val="0"/>
                <w:sz w:val="16"/>
                <w:szCs w:val="16"/>
              </w:rPr>
              <w:t xml:space="preserve">    </w:t>
            </w:r>
            <w:r>
              <w:rPr>
                <w:rFonts w:hint="eastAsia" w:ascii="宋体" w:hAnsi="宋体" w:cs="宋体"/>
                <w:b/>
                <w:bCs/>
                <w:color w:val="000000"/>
                <w:kern w:val="0"/>
                <w:sz w:val="16"/>
                <w:szCs w:val="16"/>
              </w:rPr>
              <w:t>次</w:t>
            </w:r>
          </w:p>
        </w:tc>
        <w:tc>
          <w:tcPr>
            <w:tcW w:w="42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一、一般公共预算财政拨款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2284.05</w:t>
            </w: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一、一般公共服务支出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w:t>
            </w: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w:t>
            </w: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二、外交支出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三、国防支出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四、公共安全支出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五、教育支出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六、科学技术支出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七、文化体育与传媒支出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八、社会保障和就业支出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九、医疗卫生与计划生育支出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十、节能环保支出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十一、城乡社区支出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2191.27</w:t>
            </w: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2191.27</w:t>
            </w: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十二、农林水支出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十三、交通运输支出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十四、资源勘探信息等支出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十五、商业服务业等支出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十六、金融支出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十七、援助其他地区支出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十八、国土海洋气象等支出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十九、住房保障支出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20</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二十、粮油物资储备支出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50</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21</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二十一、其他支出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51</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22</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二十二、债务还本支出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52</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23</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二十三、债务付息支出</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53</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24</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54</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本年收入合计</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25</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lang w:val="en-US" w:eastAsia="zh-CN"/>
              </w:rPr>
              <w:t>2284.05</w:t>
            </w:r>
            <w:r>
              <w:rPr>
                <w:rFonts w:ascii="宋体" w:hAnsi="宋体" w:cs="宋体"/>
                <w:b/>
                <w:bCs/>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55</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lang w:val="en-US" w:eastAsia="zh-CN"/>
              </w:rPr>
              <w:t>2193.27</w:t>
            </w:r>
            <w:r>
              <w:rPr>
                <w:rFonts w:ascii="宋体" w:hAnsi="宋体" w:cs="宋体"/>
                <w:b/>
                <w:bCs/>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lang w:val="en-US" w:eastAsia="zh-CN"/>
              </w:rPr>
              <w:t>2193.27</w:t>
            </w:r>
            <w:r>
              <w:rPr>
                <w:rFonts w:ascii="宋体" w:hAnsi="宋体" w:cs="宋体"/>
                <w:b/>
                <w:bCs/>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年初财政拨款结转和结余</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26</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192.8</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　年末财政拨款结转和结余</w:t>
            </w: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56</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283.58</w:t>
            </w: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283.58</w:t>
            </w: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一般公共预算财政拨款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27</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57</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　政府性基金预算财政拨款</w:t>
            </w: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28</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58</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1300" w:type="dxa"/>
            <w:tcBorders>
              <w:top w:val="single" w:color="000000" w:sz="4" w:space="0"/>
              <w:left w:val="single" w:color="000000" w:sz="4" w:space="0"/>
              <w:bottom w:val="single" w:color="000000" w:sz="4" w:space="0"/>
              <w:right w:val="single" w:color="000000" w:sz="12" w:space="0"/>
            </w:tcBorders>
            <w:vAlign w:val="center"/>
          </w:tcPr>
          <w:p>
            <w:pPr>
              <w:jc w:val="right"/>
              <w:rPr>
                <w:rFonts w:ascii="宋体" w:cs="Times New Roman"/>
                <w:color w:val="000000"/>
                <w:sz w:val="16"/>
                <w:szCs w:val="16"/>
              </w:rPr>
            </w:pPr>
          </w:p>
        </w:tc>
      </w:tr>
      <w:tr>
        <w:trPr>
          <w:trHeight w:val="285" w:hRule="atLeast"/>
        </w:trPr>
        <w:tc>
          <w:tcPr>
            <w:tcW w:w="214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40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29</w:t>
            </w:r>
          </w:p>
        </w:tc>
        <w:tc>
          <w:tcPr>
            <w:tcW w:w="147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08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59</w:t>
            </w:r>
          </w:p>
        </w:tc>
        <w:tc>
          <w:tcPr>
            <w:tcW w:w="1300"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30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90" w:hRule="atLeast"/>
        </w:trPr>
        <w:tc>
          <w:tcPr>
            <w:tcW w:w="2145" w:type="dxa"/>
            <w:tcBorders>
              <w:top w:val="single" w:color="000000" w:sz="4" w:space="0"/>
              <w:left w:val="single" w:color="000000" w:sz="12"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405" w:type="dxa"/>
            <w:gridSpan w:val="2"/>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30</w:t>
            </w:r>
          </w:p>
        </w:tc>
        <w:tc>
          <w:tcPr>
            <w:tcW w:w="147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lang w:val="en-US" w:eastAsia="zh-CN"/>
              </w:rPr>
              <w:t>2476.85</w:t>
            </w:r>
            <w:r>
              <w:rPr>
                <w:rFonts w:ascii="宋体" w:hAnsi="宋体" w:cs="宋体"/>
                <w:b/>
                <w:bCs/>
                <w:color w:val="000000"/>
                <w:kern w:val="0"/>
                <w:sz w:val="16"/>
                <w:szCs w:val="16"/>
              </w:rPr>
              <w:t xml:space="preserve"> </w:t>
            </w:r>
          </w:p>
        </w:tc>
        <w:tc>
          <w:tcPr>
            <w:tcW w:w="2085" w:type="dxa"/>
            <w:gridSpan w:val="3"/>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总计</w:t>
            </w:r>
          </w:p>
        </w:tc>
        <w:tc>
          <w:tcPr>
            <w:tcW w:w="420" w:type="dxa"/>
            <w:tcBorders>
              <w:top w:val="single" w:color="000000" w:sz="4" w:space="0"/>
              <w:left w:val="single" w:color="000000" w:sz="4" w:space="0"/>
              <w:bottom w:val="single" w:color="000000" w:sz="12"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60</w:t>
            </w:r>
          </w:p>
        </w:tc>
        <w:tc>
          <w:tcPr>
            <w:tcW w:w="1300"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lang w:val="en-US" w:eastAsia="zh-CN"/>
              </w:rPr>
              <w:t>2476.85</w:t>
            </w:r>
            <w:r>
              <w:rPr>
                <w:rFonts w:ascii="宋体" w:hAnsi="宋体" w:cs="宋体"/>
                <w:b/>
                <w:bCs/>
                <w:color w:val="000000"/>
                <w:kern w:val="0"/>
                <w:sz w:val="16"/>
                <w:szCs w:val="16"/>
              </w:rPr>
              <w:t xml:space="preserve"> </w:t>
            </w:r>
          </w:p>
        </w:tc>
        <w:tc>
          <w:tcPr>
            <w:tcW w:w="130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lang w:val="en-US" w:eastAsia="zh-CN"/>
              </w:rPr>
              <w:t>2476.85</w:t>
            </w:r>
            <w:r>
              <w:rPr>
                <w:rFonts w:ascii="宋体" w:hAnsi="宋体" w:cs="宋体"/>
                <w:b/>
                <w:bCs/>
                <w:color w:val="000000"/>
                <w:kern w:val="0"/>
                <w:sz w:val="16"/>
                <w:szCs w:val="16"/>
              </w:rPr>
              <w:t xml:space="preserve"> </w:t>
            </w:r>
          </w:p>
        </w:tc>
        <w:tc>
          <w:tcPr>
            <w:tcW w:w="130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rPr>
          <w:trHeight w:val="495" w:hRule="atLeast"/>
        </w:trPr>
        <w:tc>
          <w:tcPr>
            <w:tcW w:w="10425" w:type="dxa"/>
            <w:gridSpan w:val="14"/>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注：本表反映部门本年度一般公共预算财政拨款和政府性基金预算财政拨款的总收支和年末结转结余情况。</w:t>
            </w:r>
            <w:r>
              <w:rPr>
                <w:rFonts w:ascii="宋体" w:hAnsi="宋体" w:cs="宋体"/>
                <w:color w:val="000000"/>
                <w:kern w:val="0"/>
                <w:sz w:val="16"/>
                <w:szCs w:val="16"/>
              </w:rPr>
              <w:t xml:space="preserve">             </w:t>
            </w:r>
          </w:p>
        </w:tc>
      </w:tr>
    </w:tbl>
    <w:p>
      <w:pPr>
        <w:spacing w:line="360" w:lineRule="auto"/>
        <w:jc w:val="center"/>
        <w:rPr>
          <w:rFonts w:ascii="隶书" w:hAnsi="隶书" w:eastAsia="隶书" w:cs="Times New Roman"/>
          <w:sz w:val="52"/>
          <w:szCs w:val="52"/>
        </w:rPr>
      </w:pPr>
      <w:r>
        <w:rPr>
          <w:rFonts w:ascii="隶书" w:hAnsi="隶书" w:eastAsia="隶书" w:cs="Times New Roman"/>
          <w:sz w:val="52"/>
          <w:szCs w:val="52"/>
        </w:rPr>
        <w:br w:type="page"/>
      </w:r>
    </w:p>
    <w:tbl>
      <w:tblPr>
        <w:tblW w:w="10440"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16"/>
        <w:gridCol w:w="675"/>
        <w:gridCol w:w="1800"/>
        <w:gridCol w:w="2249"/>
        <w:gridCol w:w="76"/>
        <w:gridCol w:w="1575"/>
        <w:gridCol w:w="598"/>
        <w:gridCol w:w="2251"/>
      </w:tblGrid>
      <w:tr>
        <w:trPr>
          <w:trHeight w:val="375" w:hRule="atLeast"/>
        </w:trPr>
        <w:tc>
          <w:tcPr>
            <w:tcW w:w="10440" w:type="dxa"/>
            <w:gridSpan w:val="8"/>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一般公共预算财政拨款支出决算表</w:t>
            </w:r>
          </w:p>
        </w:tc>
      </w:tr>
      <w:tr>
        <w:trPr>
          <w:trHeight w:val="285" w:hRule="atLeast"/>
        </w:trPr>
        <w:tc>
          <w:tcPr>
            <w:tcW w:w="1891" w:type="dxa"/>
            <w:gridSpan w:val="2"/>
            <w:vAlign w:val="center"/>
          </w:tcPr>
          <w:p>
            <w:pPr>
              <w:rPr>
                <w:rFonts w:ascii="宋体" w:cs="Times New Roman"/>
                <w:color w:val="000000"/>
                <w:sz w:val="16"/>
                <w:szCs w:val="16"/>
              </w:rPr>
            </w:pPr>
          </w:p>
        </w:tc>
        <w:tc>
          <w:tcPr>
            <w:tcW w:w="1800" w:type="dxa"/>
            <w:vAlign w:val="center"/>
          </w:tcPr>
          <w:p>
            <w:pPr>
              <w:rPr>
                <w:rFonts w:ascii="宋体" w:cs="Times New Roman"/>
                <w:color w:val="000000"/>
                <w:sz w:val="16"/>
                <w:szCs w:val="16"/>
              </w:rPr>
            </w:pPr>
          </w:p>
        </w:tc>
        <w:tc>
          <w:tcPr>
            <w:tcW w:w="2325" w:type="dxa"/>
            <w:gridSpan w:val="2"/>
            <w:vAlign w:val="center"/>
          </w:tcPr>
          <w:p>
            <w:pPr>
              <w:rPr>
                <w:rFonts w:ascii="宋体" w:cs="Times New Roman"/>
                <w:color w:val="000000"/>
                <w:sz w:val="16"/>
                <w:szCs w:val="16"/>
              </w:rPr>
            </w:pPr>
          </w:p>
        </w:tc>
        <w:tc>
          <w:tcPr>
            <w:tcW w:w="1575" w:type="dxa"/>
            <w:vAlign w:val="center"/>
          </w:tcPr>
          <w:p>
            <w:pPr>
              <w:rPr>
                <w:rFonts w:ascii="宋体" w:cs="Times New Roman"/>
                <w:color w:val="000000"/>
                <w:sz w:val="16"/>
                <w:szCs w:val="16"/>
              </w:rPr>
            </w:pPr>
          </w:p>
        </w:tc>
        <w:tc>
          <w:tcPr>
            <w:tcW w:w="2849"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05</w:t>
            </w:r>
            <w:r>
              <w:rPr>
                <w:rFonts w:hint="eastAsia" w:ascii="宋体" w:hAnsi="宋体" w:cs="宋体"/>
                <w:color w:val="000000"/>
                <w:kern w:val="0"/>
                <w:sz w:val="16"/>
                <w:szCs w:val="16"/>
              </w:rPr>
              <w:t>表</w:t>
            </w:r>
          </w:p>
        </w:tc>
      </w:tr>
      <w:tr>
        <w:trPr>
          <w:trHeight w:val="270" w:hRule="atLeast"/>
        </w:trPr>
        <w:tc>
          <w:tcPr>
            <w:tcW w:w="1891" w:type="dxa"/>
            <w:gridSpan w:val="2"/>
            <w:vAlign w:val="center"/>
          </w:tcPr>
          <w:p>
            <w:pPr>
              <w:rPr>
                <w:rFonts w:ascii="宋体" w:cs="Times New Roman"/>
                <w:color w:val="000000"/>
                <w:sz w:val="16"/>
                <w:szCs w:val="16"/>
              </w:rPr>
            </w:pPr>
          </w:p>
        </w:tc>
        <w:tc>
          <w:tcPr>
            <w:tcW w:w="1800" w:type="dxa"/>
            <w:vAlign w:val="center"/>
          </w:tcPr>
          <w:p>
            <w:pPr>
              <w:rPr>
                <w:rFonts w:ascii="宋体" w:cs="Times New Roman"/>
                <w:color w:val="000000"/>
                <w:sz w:val="16"/>
                <w:szCs w:val="16"/>
              </w:rPr>
            </w:pPr>
          </w:p>
        </w:tc>
        <w:tc>
          <w:tcPr>
            <w:tcW w:w="2325" w:type="dxa"/>
            <w:gridSpan w:val="2"/>
            <w:vAlign w:val="center"/>
          </w:tcPr>
          <w:p>
            <w:pPr>
              <w:rPr>
                <w:rFonts w:ascii="宋体" w:cs="Times New Roman"/>
                <w:color w:val="000000"/>
                <w:sz w:val="16"/>
                <w:szCs w:val="16"/>
              </w:rPr>
            </w:pPr>
          </w:p>
        </w:tc>
        <w:tc>
          <w:tcPr>
            <w:tcW w:w="1575" w:type="dxa"/>
            <w:vAlign w:val="center"/>
          </w:tcPr>
          <w:p>
            <w:pPr>
              <w:rPr>
                <w:rFonts w:ascii="宋体" w:cs="Times New Roman"/>
                <w:color w:val="000000"/>
                <w:sz w:val="16"/>
                <w:szCs w:val="16"/>
              </w:rPr>
            </w:pPr>
          </w:p>
        </w:tc>
        <w:tc>
          <w:tcPr>
            <w:tcW w:w="2849"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rPr>
          <w:trHeight w:val="300" w:hRule="atLeast"/>
        </w:trPr>
        <w:tc>
          <w:tcPr>
            <w:tcW w:w="3691"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w:t>
            </w:r>
          </w:p>
        </w:tc>
        <w:tc>
          <w:tcPr>
            <w:tcW w:w="2249"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本年支出合计</w:t>
            </w:r>
          </w:p>
        </w:tc>
        <w:tc>
          <w:tcPr>
            <w:tcW w:w="2249" w:type="dxa"/>
            <w:gridSpan w:val="3"/>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基本支出</w:t>
            </w:r>
          </w:p>
        </w:tc>
        <w:tc>
          <w:tcPr>
            <w:tcW w:w="2251"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项目支出</w:t>
            </w:r>
          </w:p>
        </w:tc>
      </w:tr>
      <w:tr>
        <w:trPr>
          <w:trHeight w:val="6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r>
            <w:r>
              <w:rPr>
                <w:rFonts w:hint="eastAsia" w:ascii="宋体" w:hAnsi="宋体" w:cs="宋体"/>
                <w:b/>
                <w:bCs/>
                <w:color w:val="000000"/>
                <w:kern w:val="0"/>
                <w:sz w:val="16"/>
                <w:szCs w:val="16"/>
              </w:rPr>
              <w:t>科目编码</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2249"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2249" w:type="dxa"/>
            <w:gridSpan w:val="3"/>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2251"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r>
      <w:tr>
        <w:trPr>
          <w:trHeight w:val="300" w:hRule="atLeast"/>
        </w:trPr>
        <w:tc>
          <w:tcPr>
            <w:tcW w:w="3691"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lang w:val="en-US" w:eastAsia="zh-CN"/>
              </w:rPr>
              <w:t>2193.27</w:t>
            </w:r>
            <w:r>
              <w:rPr>
                <w:rFonts w:ascii="宋体" w:hAnsi="宋体" w:cs="宋体"/>
                <w:b/>
                <w:bCs/>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lang w:val="en-US" w:eastAsia="zh-CN"/>
              </w:rPr>
              <w:t>2193.27</w:t>
            </w:r>
            <w:r>
              <w:rPr>
                <w:rFonts w:ascii="宋体" w:hAnsi="宋体" w:cs="宋体"/>
                <w:b/>
                <w:bCs/>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201</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一般公共服务支出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lang w:val="en-US" w:eastAsia="zh-CN"/>
              </w:rPr>
              <w:t>2</w:t>
            </w:r>
            <w:r>
              <w:rPr>
                <w:rFonts w:ascii="宋体" w:hAnsi="宋体" w:cs="宋体"/>
                <w:b/>
                <w:bCs/>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lang w:val="en-US" w:eastAsia="zh-CN"/>
              </w:rPr>
              <w:t>2</w:t>
            </w:r>
            <w:r>
              <w:rPr>
                <w:rFonts w:ascii="宋体" w:hAnsi="宋体" w:cs="宋体"/>
                <w:b/>
                <w:bCs/>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2010</w:t>
            </w:r>
            <w:r>
              <w:rPr>
                <w:rFonts w:hint="eastAsia" w:ascii="宋体" w:hAnsi="宋体" w:cs="宋体"/>
                <w:color w:val="000000"/>
                <w:kern w:val="0"/>
                <w:sz w:val="16"/>
                <w:szCs w:val="16"/>
                <w:lang w:val="en-US" w:eastAsia="zh-CN"/>
              </w:rPr>
              <w:t>3</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cs="Times New Roman"/>
                <w:color w:val="000000"/>
                <w:sz w:val="16"/>
                <w:szCs w:val="16"/>
              </w:rPr>
            </w:pPr>
            <w:r>
              <w:rPr>
                <w:rFonts w:hint="default" w:ascii="宋体" w:hAnsi="宋体" w:cs="宋体"/>
                <w:color w:val="000000"/>
                <w:kern w:val="0"/>
                <w:sz w:val="16"/>
                <w:szCs w:val="16"/>
                <w:lang w:eastAsia="zh-CN"/>
              </w:rPr>
              <w:t>政府办公厅（室）及相关机构事务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w:t>
            </w: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w:t>
            </w: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2010</w:t>
            </w:r>
            <w:r>
              <w:rPr>
                <w:rFonts w:hint="eastAsia" w:ascii="宋体" w:hAnsi="宋体" w:cs="宋体"/>
                <w:color w:val="000000"/>
                <w:kern w:val="0"/>
                <w:sz w:val="16"/>
                <w:szCs w:val="16"/>
                <w:lang w:val="en-US" w:eastAsia="zh-CN"/>
              </w:rPr>
              <w:t>308</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lang w:eastAsia="zh-CN"/>
              </w:rPr>
              <w:t>信访事物</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w:t>
            </w: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w:t>
            </w: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w:t>
            </w:r>
            <w:r>
              <w:rPr>
                <w:rFonts w:hint="eastAsia" w:ascii="宋体" w:hAnsi="宋体" w:cs="宋体"/>
                <w:color w:val="000000"/>
                <w:kern w:val="0"/>
                <w:sz w:val="16"/>
                <w:szCs w:val="16"/>
                <w:lang w:val="en-US" w:eastAsia="zh-CN"/>
              </w:rPr>
              <w:t>12</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cs="宋体"/>
                <w:b/>
                <w:bCs/>
                <w:color w:val="000000"/>
                <w:kern w:val="0"/>
                <w:sz w:val="16"/>
                <w:szCs w:val="16"/>
                <w:lang w:eastAsia="zh-CN"/>
              </w:rPr>
              <w:t>城乡社区支出</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2191.27</w:t>
            </w: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2191.27</w:t>
            </w: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21201</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cs="宋体"/>
                <w:color w:val="000000"/>
                <w:kern w:val="0"/>
                <w:sz w:val="16"/>
                <w:szCs w:val="16"/>
                <w:lang w:eastAsia="zh-CN"/>
              </w:rPr>
              <w:t>城乡社区管理事务</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2191.27</w:t>
            </w: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2191.27</w:t>
            </w: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hint="eastAsia" w:ascii="宋体" w:eastAsia="宋体" w:cs="Times New Roman"/>
                <w:color w:val="000000"/>
                <w:sz w:val="16"/>
                <w:szCs w:val="16"/>
                <w:lang w:val="en-US" w:eastAsia="zh-CN"/>
              </w:rPr>
            </w:pPr>
            <w:r>
              <w:rPr>
                <w:rFonts w:hint="eastAsia" w:ascii="宋体" w:cs="Times New Roman"/>
                <w:color w:val="000000"/>
                <w:sz w:val="16"/>
                <w:szCs w:val="16"/>
                <w:lang w:val="en-US" w:eastAsia="zh-CN"/>
              </w:rPr>
              <w:t>2120101</w:t>
            </w: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cs="宋体"/>
                <w:color w:val="000000"/>
                <w:kern w:val="0"/>
                <w:sz w:val="16"/>
                <w:szCs w:val="16"/>
                <w:lang w:eastAsia="zh-CN"/>
              </w:rPr>
              <w:t xml:space="preserve">  行政运行</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2191.27</w:t>
            </w: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2191.27</w:t>
            </w: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cs="Times New Roman"/>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autoSpaceDN w:val="0"/>
              <w:jc w:val="left"/>
              <w:textAlignment w:val="center"/>
              <w:rPr>
                <w:rFonts w:ascii="宋体" w:cs="Times New Roman"/>
                <w:color w:val="000000"/>
                <w:sz w:val="16"/>
                <w:szCs w:val="16"/>
              </w:rPr>
            </w:pPr>
            <w:r>
              <w:rPr>
                <w:rFonts w:hint="default" w:ascii="宋体" w:hAnsi="宋体" w:cs="宋体"/>
                <w:color w:val="000000"/>
                <w:kern w:val="0"/>
                <w:sz w:val="16"/>
                <w:szCs w:val="16"/>
                <w:lang w:eastAsia="zh-CN"/>
              </w:rPr>
              <w:t xml:space="preserve"> </w:t>
            </w: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475" w:type="dxa"/>
            <w:gridSpan w:val="2"/>
            <w:tcBorders>
              <w:top w:val="single" w:color="000000" w:sz="4" w:space="0"/>
              <w:left w:val="single" w:color="000000" w:sz="4" w:space="0"/>
              <w:bottom w:val="single" w:color="000000" w:sz="4" w:space="0"/>
              <w:right w:val="single" w:color="000000" w:sz="4" w:space="0"/>
            </w:tcBorders>
            <w:textDirection w:val="lrTb"/>
            <w:vAlign w:val="center"/>
          </w:tcPr>
          <w:p>
            <w:pPr>
              <w:widowControl/>
              <w:jc w:val="left"/>
              <w:textAlignment w:val="center"/>
              <w:rPr>
                <w:rFonts w:ascii="宋体" w:cs="Times New Roman"/>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p>
        </w:tc>
      </w:tr>
      <w:tr>
        <w:trPr>
          <w:trHeight w:val="300" w:hRule="atLeast"/>
        </w:trPr>
        <w:tc>
          <w:tcPr>
            <w:tcW w:w="1216"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p>
        </w:tc>
        <w:tc>
          <w:tcPr>
            <w:tcW w:w="2249"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p>
        </w:tc>
        <w:tc>
          <w:tcPr>
            <w:tcW w:w="2249" w:type="dxa"/>
            <w:gridSpan w:val="3"/>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p>
        </w:tc>
        <w:tc>
          <w:tcPr>
            <w:tcW w:w="2251"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p>
        </w:tc>
      </w:tr>
      <w:tr>
        <w:trPr>
          <w:trHeight w:val="300" w:hRule="atLeast"/>
        </w:trPr>
        <w:tc>
          <w:tcPr>
            <w:tcW w:w="1216"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475"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p>
        </w:tc>
        <w:tc>
          <w:tcPr>
            <w:tcW w:w="2249"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2249" w:type="dxa"/>
            <w:gridSpan w:val="3"/>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2251"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Times New Roman"/>
                <w:color w:val="000000"/>
                <w:sz w:val="16"/>
                <w:szCs w:val="16"/>
              </w:rPr>
            </w:pPr>
          </w:p>
        </w:tc>
      </w:tr>
      <w:tr>
        <w:trPr>
          <w:trHeight w:val="600" w:hRule="atLeast"/>
        </w:trPr>
        <w:tc>
          <w:tcPr>
            <w:tcW w:w="10440" w:type="dxa"/>
            <w:gridSpan w:val="8"/>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注：本表反映部门本年度一般公共预算财政拨款实际支出情况。</w:t>
            </w:r>
            <w:r>
              <w:rPr>
                <w:rFonts w:ascii="宋体" w:hAnsi="宋体" w:cs="宋体"/>
                <w:color w:val="000000"/>
                <w:kern w:val="0"/>
                <w:sz w:val="16"/>
                <w:szCs w:val="16"/>
              </w:rPr>
              <w:t xml:space="preserve">             </w:t>
            </w:r>
          </w:p>
        </w:tc>
      </w:tr>
    </w:tbl>
    <w:p>
      <w:pPr>
        <w:spacing w:line="360" w:lineRule="auto"/>
        <w:jc w:val="center"/>
        <w:rPr>
          <w:rFonts w:ascii="隶书" w:hAnsi="隶书" w:eastAsia="隶书" w:cs="Times New Roman"/>
          <w:sz w:val="52"/>
          <w:szCs w:val="52"/>
        </w:rPr>
        <w:sectPr>
          <w:pgSz w:w="11906" w:h="16838"/>
          <w:pgMar w:top="1440" w:right="1531" w:bottom="1440" w:left="1587" w:header="850" w:footer="992" w:gutter="0"/>
          <w:pgNumType w:fmt="numberInDash"/>
          <w:cols w:space="720" w:num="1"/>
          <w:docGrid w:type="lines" w:linePitch="317"/>
        </w:sectPr>
      </w:pPr>
    </w:p>
    <w:tbl>
      <w:tblPr>
        <w:tblW w:w="10485"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15"/>
        <w:gridCol w:w="935"/>
        <w:gridCol w:w="1794"/>
        <w:gridCol w:w="1620"/>
        <w:gridCol w:w="754"/>
        <w:gridCol w:w="117"/>
        <w:gridCol w:w="1677"/>
        <w:gridCol w:w="1163"/>
        <w:gridCol w:w="1710"/>
      </w:tblGrid>
      <w:tr>
        <w:trPr>
          <w:trHeight w:val="375" w:hRule="atLeast"/>
        </w:trPr>
        <w:tc>
          <w:tcPr>
            <w:tcW w:w="10485" w:type="dxa"/>
            <w:gridSpan w:val="9"/>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一般公共预算财政拨款基本支出决算表</w:t>
            </w:r>
          </w:p>
        </w:tc>
      </w:tr>
      <w:tr>
        <w:trPr>
          <w:trHeight w:val="285" w:hRule="atLeast"/>
        </w:trPr>
        <w:tc>
          <w:tcPr>
            <w:tcW w:w="1650" w:type="dxa"/>
            <w:gridSpan w:val="2"/>
            <w:vAlign w:val="center"/>
          </w:tcPr>
          <w:p>
            <w:pPr>
              <w:rPr>
                <w:rFonts w:ascii="宋体" w:cs="Times New Roman"/>
                <w:color w:val="000000"/>
                <w:sz w:val="16"/>
                <w:szCs w:val="16"/>
              </w:rPr>
            </w:pPr>
          </w:p>
        </w:tc>
        <w:tc>
          <w:tcPr>
            <w:tcW w:w="1794" w:type="dxa"/>
            <w:vAlign w:val="center"/>
          </w:tcPr>
          <w:p>
            <w:pPr>
              <w:rPr>
                <w:rFonts w:ascii="宋体" w:cs="Times New Roman"/>
                <w:color w:val="000000"/>
                <w:sz w:val="16"/>
                <w:szCs w:val="16"/>
              </w:rPr>
            </w:pPr>
          </w:p>
        </w:tc>
        <w:tc>
          <w:tcPr>
            <w:tcW w:w="1620" w:type="dxa"/>
            <w:vAlign w:val="center"/>
          </w:tcPr>
          <w:p>
            <w:pPr>
              <w:rPr>
                <w:rFonts w:ascii="宋体" w:cs="Times New Roman"/>
                <w:color w:val="000000"/>
                <w:sz w:val="16"/>
                <w:szCs w:val="16"/>
              </w:rPr>
            </w:pPr>
          </w:p>
        </w:tc>
        <w:tc>
          <w:tcPr>
            <w:tcW w:w="754" w:type="dxa"/>
            <w:vAlign w:val="center"/>
          </w:tcPr>
          <w:p>
            <w:pPr>
              <w:rPr>
                <w:rFonts w:ascii="宋体" w:cs="Times New Roman"/>
                <w:color w:val="000000"/>
                <w:sz w:val="16"/>
                <w:szCs w:val="16"/>
              </w:rPr>
            </w:pPr>
          </w:p>
        </w:tc>
        <w:tc>
          <w:tcPr>
            <w:tcW w:w="1794" w:type="dxa"/>
            <w:gridSpan w:val="2"/>
            <w:vAlign w:val="center"/>
          </w:tcPr>
          <w:p>
            <w:pPr>
              <w:rPr>
                <w:rFonts w:ascii="宋体" w:cs="Times New Roman"/>
                <w:color w:val="000000"/>
                <w:sz w:val="16"/>
                <w:szCs w:val="16"/>
              </w:rPr>
            </w:pPr>
          </w:p>
        </w:tc>
        <w:tc>
          <w:tcPr>
            <w:tcW w:w="2873"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06</w:t>
            </w:r>
            <w:r>
              <w:rPr>
                <w:rFonts w:hint="eastAsia" w:ascii="宋体" w:hAnsi="宋体" w:cs="宋体"/>
                <w:color w:val="000000"/>
                <w:kern w:val="0"/>
                <w:sz w:val="16"/>
                <w:szCs w:val="16"/>
              </w:rPr>
              <w:t>表</w:t>
            </w:r>
          </w:p>
        </w:tc>
      </w:tr>
      <w:tr>
        <w:trPr>
          <w:trHeight w:val="270" w:hRule="atLeast"/>
        </w:trPr>
        <w:tc>
          <w:tcPr>
            <w:tcW w:w="1650" w:type="dxa"/>
            <w:gridSpan w:val="2"/>
            <w:vAlign w:val="center"/>
          </w:tcPr>
          <w:p>
            <w:pPr>
              <w:rPr>
                <w:rFonts w:ascii="宋体" w:cs="Times New Roman"/>
                <w:color w:val="000000"/>
                <w:sz w:val="16"/>
                <w:szCs w:val="16"/>
              </w:rPr>
            </w:pPr>
          </w:p>
        </w:tc>
        <w:tc>
          <w:tcPr>
            <w:tcW w:w="1794" w:type="dxa"/>
            <w:vAlign w:val="center"/>
          </w:tcPr>
          <w:p>
            <w:pPr>
              <w:rPr>
                <w:rFonts w:ascii="宋体" w:cs="Times New Roman"/>
                <w:color w:val="000000"/>
                <w:sz w:val="16"/>
                <w:szCs w:val="16"/>
              </w:rPr>
            </w:pPr>
          </w:p>
        </w:tc>
        <w:tc>
          <w:tcPr>
            <w:tcW w:w="1620" w:type="dxa"/>
            <w:vAlign w:val="center"/>
          </w:tcPr>
          <w:p>
            <w:pPr>
              <w:rPr>
                <w:rFonts w:ascii="宋体" w:cs="Times New Roman"/>
                <w:color w:val="000000"/>
                <w:sz w:val="16"/>
                <w:szCs w:val="16"/>
              </w:rPr>
            </w:pPr>
          </w:p>
        </w:tc>
        <w:tc>
          <w:tcPr>
            <w:tcW w:w="754" w:type="dxa"/>
            <w:vAlign w:val="center"/>
          </w:tcPr>
          <w:p>
            <w:pPr>
              <w:rPr>
                <w:rFonts w:ascii="宋体" w:cs="Times New Roman"/>
                <w:color w:val="000000"/>
                <w:sz w:val="16"/>
                <w:szCs w:val="16"/>
              </w:rPr>
            </w:pPr>
          </w:p>
        </w:tc>
        <w:tc>
          <w:tcPr>
            <w:tcW w:w="1794" w:type="dxa"/>
            <w:gridSpan w:val="2"/>
            <w:vAlign w:val="center"/>
          </w:tcPr>
          <w:p>
            <w:pPr>
              <w:rPr>
                <w:rFonts w:ascii="宋体" w:cs="Times New Roman"/>
                <w:color w:val="000000"/>
                <w:sz w:val="16"/>
                <w:szCs w:val="16"/>
              </w:rPr>
            </w:pPr>
          </w:p>
        </w:tc>
        <w:tc>
          <w:tcPr>
            <w:tcW w:w="2873" w:type="dxa"/>
            <w:gridSpan w:val="2"/>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rPr>
          <w:trHeight w:val="300" w:hRule="atLeast"/>
        </w:trPr>
        <w:tc>
          <w:tcPr>
            <w:tcW w:w="5064" w:type="dxa"/>
            <w:gridSpan w:val="4"/>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人员经费</w:t>
            </w:r>
          </w:p>
        </w:tc>
        <w:tc>
          <w:tcPr>
            <w:tcW w:w="5421" w:type="dxa"/>
            <w:gridSpan w:val="5"/>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公用经费</w:t>
            </w:r>
          </w:p>
        </w:tc>
      </w:tr>
      <w:tr>
        <w:trPr>
          <w:trHeight w:val="6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kern w:val="0"/>
                <w:sz w:val="16"/>
                <w:szCs w:val="16"/>
              </w:rPr>
            </w:pPr>
            <w:r>
              <w:rPr>
                <w:rFonts w:hint="eastAsia" w:ascii="宋体" w:hAnsi="宋体" w:cs="宋体"/>
                <w:b/>
                <w:bCs/>
                <w:color w:val="000000"/>
                <w:kern w:val="0"/>
                <w:sz w:val="16"/>
                <w:szCs w:val="16"/>
              </w:rPr>
              <w:t>经济分类</w:t>
            </w:r>
          </w:p>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科目编码</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kern w:val="0"/>
                <w:sz w:val="16"/>
                <w:szCs w:val="16"/>
              </w:rPr>
            </w:pPr>
            <w:r>
              <w:rPr>
                <w:rFonts w:hint="eastAsia" w:ascii="宋体" w:hAnsi="宋体" w:cs="宋体"/>
                <w:b/>
                <w:bCs/>
                <w:color w:val="000000"/>
                <w:kern w:val="0"/>
                <w:sz w:val="16"/>
                <w:szCs w:val="16"/>
              </w:rPr>
              <w:t>经济分类</w:t>
            </w:r>
          </w:p>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科目编码</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金额</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lang w:val="en-US" w:eastAsia="zh-CN"/>
              </w:rPr>
              <w:t>229.04</w:t>
            </w:r>
            <w:r>
              <w:rPr>
                <w:rFonts w:ascii="宋体" w:hAnsi="宋体" w:cs="宋体"/>
                <w:b/>
                <w:bCs/>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302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cs="Times New Roman"/>
                <w:b/>
                <w:bCs/>
                <w:color w:val="000000"/>
                <w:sz w:val="16"/>
                <w:szCs w:val="16"/>
              </w:rPr>
            </w:pPr>
            <w:r>
              <w:rPr>
                <w:rFonts w:hint="eastAsia" w:ascii="宋体" w:hAnsi="宋体" w:cs="宋体"/>
                <w:b/>
                <w:bCs/>
                <w:color w:val="000000"/>
                <w:kern w:val="0"/>
                <w:sz w:val="16"/>
                <w:szCs w:val="16"/>
                <w:lang w:eastAsia="zh-CN"/>
              </w:rPr>
              <w:tab/>
            </w:r>
            <w:r>
              <w:rPr>
                <w:rFonts w:hint="eastAsia" w:ascii="宋体" w:hAnsi="宋体" w:cs="宋体"/>
                <w:b/>
                <w:bCs/>
                <w:color w:val="000000"/>
                <w:kern w:val="0"/>
                <w:sz w:val="16"/>
                <w:szCs w:val="16"/>
                <w:lang w:val="en-US" w:eastAsia="zh-CN"/>
              </w:rPr>
              <w:t>134.4</w:t>
            </w:r>
            <w:r>
              <w:rPr>
                <w:rFonts w:hint="eastAsia" w:ascii="宋体" w:hAnsi="宋体" w:cs="宋体"/>
                <w:b/>
                <w:bCs/>
                <w:color w:val="000000"/>
                <w:kern w:val="0"/>
                <w:sz w:val="16"/>
                <w:szCs w:val="16"/>
                <w:lang w:eastAsia="zh-CN"/>
              </w:rPr>
              <w:tab/>
            </w:r>
            <w:r>
              <w:rPr>
                <w:rFonts w:ascii="宋体" w:hAnsi="宋体" w:cs="宋体"/>
                <w:b/>
                <w:bCs/>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基本工资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88.18</w:t>
            </w: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cs="Times New Roman"/>
                <w:color w:val="000000"/>
                <w:sz w:val="16"/>
                <w:szCs w:val="16"/>
              </w:rPr>
            </w:pPr>
            <w:r>
              <w:rPr>
                <w:rFonts w:hint="eastAsia" w:ascii="宋体" w:hAnsi="宋体" w:cs="宋体"/>
                <w:color w:val="000000"/>
                <w:kern w:val="0"/>
                <w:sz w:val="16"/>
                <w:szCs w:val="16"/>
                <w:lang w:eastAsia="zh-CN"/>
              </w:rPr>
              <w:tab/>
            </w:r>
            <w:r>
              <w:rPr>
                <w:rFonts w:hint="eastAsia" w:ascii="宋体" w:hAnsi="宋体" w:cs="宋体"/>
                <w:color w:val="000000"/>
                <w:kern w:val="0"/>
                <w:sz w:val="16"/>
                <w:szCs w:val="16"/>
                <w:lang w:val="en-US" w:eastAsia="zh-CN"/>
              </w:rPr>
              <w:t>6.02</w:t>
            </w:r>
            <w:r>
              <w:rPr>
                <w:rFonts w:hint="eastAsia" w:ascii="宋体" w:hAnsi="宋体" w:cs="宋体"/>
                <w:color w:val="000000"/>
                <w:kern w:val="0"/>
                <w:sz w:val="16"/>
                <w:szCs w:val="16"/>
                <w:lang w:eastAsia="zh-CN"/>
              </w:rPr>
              <w:tab/>
            </w: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津贴补贴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41.05</w:t>
            </w: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印刷费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cs="Times New Roman"/>
                <w:color w:val="000000"/>
                <w:sz w:val="16"/>
                <w:szCs w:val="16"/>
              </w:rPr>
            </w:pPr>
            <w:r>
              <w:rPr>
                <w:rFonts w:hint="eastAsia" w:ascii="宋体" w:hAnsi="宋体" w:cs="宋体"/>
                <w:color w:val="000000"/>
                <w:kern w:val="0"/>
                <w:sz w:val="16"/>
                <w:szCs w:val="16"/>
                <w:lang w:eastAsia="zh-CN"/>
              </w:rPr>
              <w:tab/>
            </w:r>
            <w:r>
              <w:rPr>
                <w:rFonts w:hint="eastAsia" w:ascii="宋体" w:hAnsi="宋体" w:cs="宋体"/>
                <w:color w:val="000000"/>
                <w:kern w:val="0"/>
                <w:sz w:val="16"/>
                <w:szCs w:val="16"/>
                <w:lang w:val="en-US" w:eastAsia="zh-CN"/>
              </w:rPr>
              <w:t>2.81</w:t>
            </w:r>
            <w:r>
              <w:rPr>
                <w:rFonts w:hint="eastAsia" w:ascii="宋体" w:hAnsi="宋体" w:cs="宋体"/>
                <w:color w:val="000000"/>
                <w:kern w:val="0"/>
                <w:sz w:val="16"/>
                <w:szCs w:val="16"/>
                <w:lang w:eastAsia="zh-CN"/>
              </w:rPr>
              <w:tab/>
            </w: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5.03</w:t>
            </w: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咨询费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其他社会保障缴费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12.4</w:t>
            </w: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手续费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伙食补助费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5.36</w:t>
            </w: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水费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cs="Times New Roman"/>
                <w:color w:val="000000"/>
                <w:sz w:val="16"/>
                <w:szCs w:val="16"/>
              </w:rPr>
            </w:pPr>
            <w:r>
              <w:rPr>
                <w:rFonts w:hint="eastAsia" w:ascii="宋体" w:hAnsi="宋体" w:cs="宋体"/>
                <w:color w:val="000000"/>
                <w:kern w:val="0"/>
                <w:sz w:val="16"/>
                <w:szCs w:val="16"/>
                <w:lang w:eastAsia="zh-CN"/>
              </w:rPr>
              <w:tab/>
            </w:r>
            <w:r>
              <w:rPr>
                <w:rFonts w:hint="eastAsia" w:ascii="宋体" w:hAnsi="宋体" w:cs="宋体"/>
                <w:color w:val="000000"/>
                <w:kern w:val="0"/>
                <w:sz w:val="16"/>
                <w:szCs w:val="16"/>
                <w:lang w:val="en-US" w:eastAsia="zh-CN"/>
              </w:rPr>
              <w:t>4.55</w:t>
            </w:r>
            <w:r>
              <w:rPr>
                <w:rFonts w:hint="eastAsia" w:ascii="宋体" w:hAnsi="宋体" w:cs="宋体"/>
                <w:color w:val="000000"/>
                <w:kern w:val="0"/>
                <w:sz w:val="16"/>
                <w:szCs w:val="16"/>
                <w:lang w:eastAsia="zh-CN"/>
              </w:rPr>
              <w:tab/>
            </w: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绩效工资</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57.55</w:t>
            </w: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机关事业单位基本养老保险缴费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19.47</w:t>
            </w: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邮电费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cs="Times New Roman"/>
                <w:color w:val="000000"/>
                <w:sz w:val="16"/>
                <w:szCs w:val="16"/>
              </w:rPr>
            </w:pPr>
            <w:r>
              <w:rPr>
                <w:rFonts w:hint="eastAsia" w:ascii="宋体" w:hAnsi="宋体" w:cs="宋体"/>
                <w:color w:val="000000"/>
                <w:kern w:val="0"/>
                <w:sz w:val="16"/>
                <w:szCs w:val="16"/>
                <w:lang w:eastAsia="zh-CN"/>
              </w:rPr>
              <w:tab/>
            </w:r>
            <w:r>
              <w:rPr>
                <w:rFonts w:hint="eastAsia" w:ascii="宋体" w:hAnsi="宋体" w:cs="宋体"/>
                <w:color w:val="000000"/>
                <w:kern w:val="0"/>
                <w:sz w:val="16"/>
                <w:szCs w:val="16"/>
                <w:lang w:val="en-US" w:eastAsia="zh-CN"/>
              </w:rPr>
              <w:t>3.18</w:t>
            </w:r>
            <w:r>
              <w:rPr>
                <w:rFonts w:hint="eastAsia" w:ascii="宋体" w:hAnsi="宋体" w:cs="宋体"/>
                <w:color w:val="000000"/>
                <w:kern w:val="0"/>
                <w:sz w:val="16"/>
                <w:szCs w:val="16"/>
                <w:lang w:eastAsia="zh-CN"/>
              </w:rPr>
              <w:tab/>
            </w: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职业年金缴费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取暖费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cs="Times New Roman"/>
                <w:color w:val="000000"/>
                <w:sz w:val="16"/>
                <w:szCs w:val="16"/>
              </w:rPr>
            </w:pPr>
            <w:r>
              <w:rPr>
                <w:rFonts w:hint="eastAsia" w:ascii="宋体" w:hAnsi="宋体" w:cs="宋体"/>
                <w:color w:val="000000"/>
                <w:kern w:val="0"/>
                <w:sz w:val="16"/>
                <w:szCs w:val="16"/>
                <w:lang w:eastAsia="zh-CN"/>
              </w:rPr>
              <w:tab/>
            </w:r>
            <w:r>
              <w:rPr>
                <w:rFonts w:hint="eastAsia" w:ascii="宋体" w:hAnsi="宋体" w:cs="宋体"/>
                <w:color w:val="000000"/>
                <w:kern w:val="0"/>
                <w:sz w:val="16"/>
                <w:szCs w:val="16"/>
                <w:lang w:val="en-US" w:eastAsia="zh-CN"/>
              </w:rPr>
              <w:t>9.67</w:t>
            </w:r>
            <w:r>
              <w:rPr>
                <w:rFonts w:hint="eastAsia" w:ascii="宋体" w:hAnsi="宋体" w:cs="宋体"/>
                <w:color w:val="000000"/>
                <w:kern w:val="0"/>
                <w:sz w:val="16"/>
                <w:szCs w:val="16"/>
                <w:lang w:eastAsia="zh-CN"/>
              </w:rPr>
              <w:tab/>
            </w: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30199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其他工资福利支出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物业管理费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对个人和家庭的补助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hint="eastAsia" w:ascii="宋体" w:hAnsi="宋体" w:cs="宋体"/>
                <w:b/>
                <w:bCs/>
                <w:color w:val="000000"/>
                <w:kern w:val="0"/>
                <w:sz w:val="16"/>
                <w:szCs w:val="16"/>
                <w:lang w:val="en-US" w:eastAsia="zh-CN"/>
              </w:rPr>
              <w:t>90.1</w:t>
            </w:r>
            <w:r>
              <w:rPr>
                <w:rFonts w:ascii="宋体" w:hAnsi="宋体" w:cs="宋体"/>
                <w:b/>
                <w:bCs/>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差旅费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cs="Times New Roman"/>
                <w:color w:val="000000"/>
                <w:sz w:val="16"/>
                <w:szCs w:val="16"/>
              </w:rPr>
            </w:pPr>
            <w:r>
              <w:rPr>
                <w:rFonts w:hint="eastAsia" w:ascii="宋体" w:hAnsi="宋体" w:cs="宋体"/>
                <w:color w:val="000000"/>
                <w:kern w:val="0"/>
                <w:sz w:val="16"/>
                <w:szCs w:val="16"/>
                <w:lang w:eastAsia="zh-CN"/>
              </w:rPr>
              <w:tab/>
            </w:r>
            <w:r>
              <w:rPr>
                <w:rFonts w:hint="eastAsia" w:ascii="宋体" w:hAnsi="宋体" w:cs="宋体"/>
                <w:color w:val="000000"/>
                <w:kern w:val="0"/>
                <w:sz w:val="16"/>
                <w:szCs w:val="16"/>
                <w:lang w:val="en-US" w:eastAsia="zh-CN"/>
              </w:rPr>
              <w:t>0.05</w:t>
            </w:r>
            <w:r>
              <w:rPr>
                <w:rFonts w:hint="eastAsia" w:ascii="宋体" w:hAnsi="宋体" w:cs="宋体"/>
                <w:color w:val="000000"/>
                <w:kern w:val="0"/>
                <w:sz w:val="16"/>
                <w:szCs w:val="16"/>
                <w:lang w:eastAsia="zh-CN"/>
              </w:rPr>
              <w:tab/>
            </w: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离休费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因公出国</w:t>
            </w:r>
            <w:r>
              <w:rPr>
                <w:rFonts w:ascii="宋体" w:hAnsi="宋体" w:cs="宋体"/>
                <w:color w:val="000000"/>
                <w:kern w:val="0"/>
                <w:sz w:val="16"/>
                <w:szCs w:val="16"/>
              </w:rPr>
              <w:t>(</w:t>
            </w:r>
            <w:r>
              <w:rPr>
                <w:rFonts w:hint="eastAsia" w:ascii="宋体" w:hAnsi="宋体" w:cs="宋体"/>
                <w:color w:val="000000"/>
                <w:kern w:val="0"/>
                <w:sz w:val="16"/>
                <w:szCs w:val="16"/>
              </w:rPr>
              <w:t>境</w:t>
            </w:r>
            <w:r>
              <w:rPr>
                <w:rFonts w:ascii="宋体" w:hAnsi="宋体" w:cs="宋体"/>
                <w:color w:val="000000"/>
                <w:kern w:val="0"/>
                <w:sz w:val="16"/>
                <w:szCs w:val="16"/>
              </w:rPr>
              <w:t>)</w:t>
            </w:r>
            <w:r>
              <w:rPr>
                <w:rFonts w:hint="eastAsia" w:ascii="宋体" w:hAnsi="宋体" w:cs="宋体"/>
                <w:color w:val="000000"/>
                <w:kern w:val="0"/>
                <w:sz w:val="16"/>
                <w:szCs w:val="16"/>
              </w:rPr>
              <w:t>费用</w:t>
            </w:r>
            <w:r>
              <w:rPr>
                <w:rFonts w:ascii="宋体" w:hAnsi="宋体" w:cs="宋体"/>
                <w:color w:val="000000"/>
                <w:kern w:val="0"/>
                <w:sz w:val="16"/>
                <w:szCs w:val="16"/>
              </w:rPr>
              <w:t xml:space="preserve"> </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退休费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34.96</w:t>
            </w: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维修</w:t>
            </w:r>
            <w:r>
              <w:rPr>
                <w:rFonts w:ascii="宋体" w:hAnsi="宋体" w:cs="宋体"/>
                <w:color w:val="000000"/>
                <w:kern w:val="0"/>
                <w:sz w:val="16"/>
                <w:szCs w:val="16"/>
              </w:rPr>
              <w:t>(</w:t>
            </w:r>
            <w:r>
              <w:rPr>
                <w:rFonts w:hint="eastAsia" w:ascii="宋体" w:hAnsi="宋体" w:cs="宋体"/>
                <w:color w:val="000000"/>
                <w:kern w:val="0"/>
                <w:sz w:val="16"/>
                <w:szCs w:val="16"/>
              </w:rPr>
              <w:t>护</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退职</w:t>
            </w:r>
            <w:r>
              <w:rPr>
                <w:rFonts w:ascii="宋体" w:hAnsi="宋体" w:cs="宋体"/>
                <w:color w:val="000000"/>
                <w:kern w:val="0"/>
                <w:sz w:val="16"/>
                <w:szCs w:val="16"/>
              </w:rPr>
              <w:t>(</w:t>
            </w:r>
            <w:r>
              <w:rPr>
                <w:rFonts w:hint="eastAsia" w:ascii="宋体" w:hAnsi="宋体" w:cs="宋体"/>
                <w:color w:val="000000"/>
                <w:kern w:val="0"/>
                <w:sz w:val="16"/>
                <w:szCs w:val="16"/>
              </w:rPr>
              <w:t>役</w:t>
            </w:r>
            <w:r>
              <w:rPr>
                <w:rFonts w:ascii="宋体" w:hAnsi="宋体" w:cs="宋体"/>
                <w:color w:val="000000"/>
                <w:kern w:val="0"/>
                <w:sz w:val="16"/>
                <w:szCs w:val="16"/>
              </w:rPr>
              <w:t>)</w:t>
            </w:r>
            <w:r>
              <w:rPr>
                <w:rFonts w:hint="eastAsia" w:ascii="宋体" w:hAnsi="宋体" w:cs="宋体"/>
                <w:color w:val="000000"/>
                <w:kern w:val="0"/>
                <w:sz w:val="16"/>
                <w:szCs w:val="16"/>
              </w:rPr>
              <w:t>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租赁费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left" w:pos="512"/>
                <w:tab w:val="right" w:pos="1880"/>
              </w:tabs>
              <w:jc w:val="left"/>
              <w:textAlignment w:val="center"/>
              <w:rPr>
                <w:rFonts w:ascii="宋体" w:cs="Times New Roman"/>
                <w:color w:val="000000"/>
                <w:sz w:val="16"/>
                <w:szCs w:val="16"/>
              </w:rPr>
            </w:pPr>
            <w:r>
              <w:rPr>
                <w:rFonts w:hint="eastAsia" w:ascii="宋体" w:hAnsi="宋体" w:cs="宋体"/>
                <w:color w:val="000000"/>
                <w:kern w:val="0"/>
                <w:sz w:val="16"/>
                <w:szCs w:val="16"/>
                <w:lang w:eastAsia="zh-CN"/>
              </w:rPr>
              <w:tab/>
            </w:r>
            <w:r>
              <w:rPr>
                <w:rFonts w:hint="eastAsia" w:ascii="宋体" w:hAnsi="宋体" w:cs="宋体"/>
                <w:color w:val="000000"/>
                <w:kern w:val="0"/>
                <w:sz w:val="16"/>
                <w:szCs w:val="16"/>
                <w:lang w:val="en-US" w:eastAsia="zh-CN"/>
              </w:rPr>
              <w:t>1.62</w:t>
            </w:r>
            <w:r>
              <w:rPr>
                <w:rFonts w:hint="eastAsia" w:ascii="宋体" w:hAnsi="宋体" w:cs="宋体"/>
                <w:color w:val="000000"/>
                <w:kern w:val="0"/>
                <w:sz w:val="16"/>
                <w:szCs w:val="16"/>
                <w:lang w:eastAsia="zh-CN"/>
              </w:rPr>
              <w:tab/>
            </w: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抚恤金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会议费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生活补助</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22</w:t>
            </w: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培训费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cs="Times New Roman"/>
                <w:color w:val="000000"/>
                <w:sz w:val="16"/>
                <w:szCs w:val="16"/>
              </w:rPr>
            </w:pPr>
            <w:r>
              <w:rPr>
                <w:rFonts w:hint="eastAsia" w:ascii="宋体" w:hAnsi="宋体" w:cs="宋体"/>
                <w:color w:val="000000"/>
                <w:kern w:val="0"/>
                <w:sz w:val="16"/>
                <w:szCs w:val="16"/>
                <w:lang w:eastAsia="zh-CN"/>
              </w:rPr>
              <w:tab/>
            </w:r>
            <w:r>
              <w:rPr>
                <w:rFonts w:hint="eastAsia" w:ascii="宋体" w:hAnsi="宋体" w:cs="宋体"/>
                <w:color w:val="000000"/>
                <w:kern w:val="0"/>
                <w:sz w:val="16"/>
                <w:szCs w:val="16"/>
                <w:lang w:val="en-US" w:eastAsia="zh-CN"/>
              </w:rPr>
              <w:t>4.62</w:t>
            </w:r>
            <w:r>
              <w:rPr>
                <w:rFonts w:hint="eastAsia" w:ascii="宋体" w:hAnsi="宋体" w:cs="宋体"/>
                <w:color w:val="000000"/>
                <w:kern w:val="0"/>
                <w:sz w:val="16"/>
                <w:szCs w:val="16"/>
                <w:lang w:eastAsia="zh-CN"/>
              </w:rPr>
              <w:tab/>
            </w: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30306</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救济费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公务接待费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cs="Times New Roman"/>
                <w:color w:val="000000"/>
                <w:sz w:val="16"/>
                <w:szCs w:val="16"/>
              </w:rPr>
            </w:pPr>
            <w:r>
              <w:rPr>
                <w:rFonts w:hint="eastAsia" w:ascii="宋体" w:hAnsi="宋体" w:cs="宋体"/>
                <w:color w:val="000000"/>
                <w:kern w:val="0"/>
                <w:sz w:val="16"/>
                <w:szCs w:val="16"/>
                <w:lang w:eastAsia="zh-CN"/>
              </w:rPr>
              <w:tab/>
            </w:r>
            <w:r>
              <w:rPr>
                <w:rFonts w:hint="eastAsia" w:ascii="宋体" w:hAnsi="宋体" w:cs="宋体"/>
                <w:color w:val="000000"/>
                <w:kern w:val="0"/>
                <w:sz w:val="16"/>
                <w:szCs w:val="16"/>
                <w:lang w:val="en-US" w:eastAsia="zh-CN"/>
              </w:rPr>
              <w:t>1.38</w:t>
            </w:r>
            <w:r>
              <w:rPr>
                <w:rFonts w:hint="eastAsia" w:ascii="宋体" w:hAnsi="宋体" w:cs="宋体"/>
                <w:color w:val="000000"/>
                <w:kern w:val="0"/>
                <w:sz w:val="16"/>
                <w:szCs w:val="16"/>
                <w:lang w:eastAsia="zh-CN"/>
              </w:rPr>
              <w:tab/>
            </w: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30307</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医疗费</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30218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专用材料费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30308</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助学金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cs="Times New Roman"/>
                <w:color w:val="000000"/>
                <w:sz w:val="16"/>
                <w:szCs w:val="16"/>
              </w:rPr>
            </w:pPr>
            <w:r>
              <w:rPr>
                <w:rFonts w:hint="eastAsia" w:ascii="宋体" w:hAnsi="宋体" w:cs="宋体"/>
                <w:color w:val="000000"/>
                <w:kern w:val="0"/>
                <w:sz w:val="16"/>
                <w:szCs w:val="16"/>
                <w:lang w:eastAsia="zh-CN"/>
              </w:rPr>
              <w:tab/>
            </w:r>
            <w:r>
              <w:rPr>
                <w:rFonts w:hint="eastAsia" w:ascii="宋体" w:hAnsi="宋体" w:cs="宋体"/>
                <w:color w:val="000000"/>
                <w:kern w:val="0"/>
                <w:sz w:val="16"/>
                <w:szCs w:val="16"/>
                <w:lang w:val="en-US" w:eastAsia="zh-CN"/>
              </w:rPr>
              <w:t>1.34</w:t>
            </w:r>
            <w:r>
              <w:rPr>
                <w:rFonts w:hint="eastAsia" w:ascii="宋体" w:hAnsi="宋体" w:cs="宋体"/>
                <w:color w:val="000000"/>
                <w:kern w:val="0"/>
                <w:sz w:val="16"/>
                <w:szCs w:val="16"/>
                <w:lang w:eastAsia="zh-CN"/>
              </w:rPr>
              <w:tab/>
            </w: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30309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奖励金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16.5</w:t>
            </w: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30310</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生产补贴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cs="Times New Roman"/>
                <w:color w:val="000000"/>
                <w:sz w:val="16"/>
                <w:szCs w:val="16"/>
              </w:rPr>
            </w:pPr>
            <w:r>
              <w:rPr>
                <w:rFonts w:hint="eastAsia" w:ascii="宋体" w:hAnsi="宋体" w:cs="宋体"/>
                <w:color w:val="000000"/>
                <w:kern w:val="0"/>
                <w:sz w:val="16"/>
                <w:szCs w:val="16"/>
                <w:lang w:eastAsia="zh-CN"/>
              </w:rPr>
              <w:tab/>
            </w:r>
            <w:r>
              <w:rPr>
                <w:rFonts w:hint="eastAsia" w:ascii="宋体" w:hAnsi="宋体" w:cs="宋体"/>
                <w:color w:val="000000"/>
                <w:kern w:val="0"/>
                <w:sz w:val="16"/>
                <w:szCs w:val="16"/>
                <w:lang w:val="en-US" w:eastAsia="zh-CN"/>
              </w:rPr>
              <w:t>26.03</w:t>
            </w:r>
            <w:r>
              <w:rPr>
                <w:rFonts w:hint="eastAsia" w:ascii="宋体" w:hAnsi="宋体" w:cs="宋体"/>
                <w:color w:val="000000"/>
                <w:kern w:val="0"/>
                <w:sz w:val="16"/>
                <w:szCs w:val="16"/>
                <w:lang w:eastAsia="zh-CN"/>
              </w:rPr>
              <w:tab/>
            </w: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30311</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住房公积金</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lang w:val="en-US" w:eastAsia="zh-CN"/>
              </w:rPr>
              <w:t>16.64</w:t>
            </w: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cs="Times New Roman"/>
                <w:color w:val="000000"/>
                <w:sz w:val="16"/>
                <w:szCs w:val="16"/>
              </w:rPr>
            </w:pPr>
            <w:r>
              <w:rPr>
                <w:rFonts w:hint="eastAsia" w:ascii="宋体" w:hAnsi="宋体" w:cs="宋体"/>
                <w:color w:val="000000"/>
                <w:kern w:val="0"/>
                <w:sz w:val="16"/>
                <w:szCs w:val="16"/>
                <w:lang w:eastAsia="zh-CN"/>
              </w:rPr>
              <w:tab/>
            </w:r>
            <w:r>
              <w:rPr>
                <w:rFonts w:hint="eastAsia" w:ascii="宋体" w:hAnsi="宋体" w:cs="宋体"/>
                <w:color w:val="000000"/>
                <w:kern w:val="0"/>
                <w:sz w:val="16"/>
                <w:szCs w:val="16"/>
                <w:lang w:val="en-US" w:eastAsia="zh-CN"/>
              </w:rPr>
              <w:t>35.83</w:t>
            </w:r>
            <w:r>
              <w:rPr>
                <w:rFonts w:hint="eastAsia" w:ascii="宋体" w:hAnsi="宋体" w:cs="宋体"/>
                <w:color w:val="000000"/>
                <w:kern w:val="0"/>
                <w:sz w:val="16"/>
                <w:szCs w:val="16"/>
                <w:lang w:eastAsia="zh-CN"/>
              </w:rPr>
              <w:tab/>
            </w: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30312</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提租补贴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cs="Times New Roman"/>
                <w:color w:val="000000"/>
                <w:sz w:val="16"/>
                <w:szCs w:val="16"/>
              </w:rPr>
            </w:pPr>
            <w:r>
              <w:rPr>
                <w:rFonts w:hint="eastAsia" w:ascii="宋体" w:hAnsi="宋体" w:cs="宋体"/>
                <w:color w:val="000000"/>
                <w:kern w:val="0"/>
                <w:sz w:val="16"/>
                <w:szCs w:val="16"/>
                <w:lang w:eastAsia="zh-CN"/>
              </w:rPr>
              <w:tab/>
            </w:r>
            <w:r>
              <w:rPr>
                <w:rFonts w:hint="eastAsia" w:ascii="宋体" w:hAnsi="宋体" w:cs="宋体"/>
                <w:color w:val="000000"/>
                <w:kern w:val="0"/>
                <w:sz w:val="16"/>
                <w:szCs w:val="16"/>
                <w:lang w:val="en-US" w:eastAsia="zh-CN"/>
              </w:rPr>
              <w:t>4.68</w:t>
            </w:r>
            <w:r>
              <w:rPr>
                <w:rFonts w:hint="eastAsia" w:ascii="宋体" w:hAnsi="宋体" w:cs="宋体"/>
                <w:color w:val="000000"/>
                <w:kern w:val="0"/>
                <w:sz w:val="16"/>
                <w:szCs w:val="16"/>
                <w:lang w:eastAsia="zh-CN"/>
              </w:rPr>
              <w:tab/>
            </w: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30313</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购房补贴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cs="Times New Roman"/>
                <w:color w:val="000000"/>
                <w:sz w:val="16"/>
                <w:szCs w:val="16"/>
              </w:rPr>
            </w:pPr>
            <w:r>
              <w:rPr>
                <w:rFonts w:hint="eastAsia" w:ascii="宋体" w:hAnsi="宋体" w:cs="宋体"/>
                <w:color w:val="000000"/>
                <w:kern w:val="0"/>
                <w:sz w:val="16"/>
                <w:szCs w:val="16"/>
                <w:lang w:eastAsia="zh-CN"/>
              </w:rPr>
              <w:tab/>
            </w:r>
            <w:r>
              <w:rPr>
                <w:rFonts w:hint="eastAsia" w:ascii="宋体" w:hAnsi="宋体" w:cs="宋体"/>
                <w:color w:val="000000"/>
                <w:kern w:val="0"/>
                <w:sz w:val="16"/>
                <w:szCs w:val="16"/>
                <w:lang w:val="en-US" w:eastAsia="zh-CN"/>
              </w:rPr>
              <w:t>0.41</w:t>
            </w:r>
            <w:r>
              <w:rPr>
                <w:rFonts w:hint="eastAsia" w:ascii="宋体" w:hAnsi="宋体" w:cs="宋体"/>
                <w:color w:val="000000"/>
                <w:kern w:val="0"/>
                <w:sz w:val="16"/>
                <w:szCs w:val="16"/>
                <w:lang w:eastAsia="zh-CN"/>
              </w:rPr>
              <w:tab/>
            </w: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30314</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采暖补贴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cs="Times New Roman"/>
                <w:color w:val="000000"/>
                <w:sz w:val="16"/>
                <w:szCs w:val="16"/>
              </w:rPr>
            </w:pPr>
            <w:r>
              <w:rPr>
                <w:rFonts w:hint="eastAsia" w:ascii="宋体" w:hAnsi="宋体" w:cs="宋体"/>
                <w:color w:val="000000"/>
                <w:kern w:val="0"/>
                <w:sz w:val="16"/>
                <w:szCs w:val="16"/>
                <w:lang w:eastAsia="zh-CN"/>
              </w:rPr>
              <w:tab/>
            </w:r>
            <w:r>
              <w:rPr>
                <w:rFonts w:hint="eastAsia" w:ascii="宋体" w:hAnsi="宋体" w:cs="宋体"/>
                <w:color w:val="000000"/>
                <w:kern w:val="0"/>
                <w:sz w:val="16"/>
                <w:szCs w:val="16"/>
                <w:lang w:val="en-US" w:eastAsia="zh-CN"/>
              </w:rPr>
              <w:t>5.01</w:t>
            </w:r>
            <w:r>
              <w:rPr>
                <w:rFonts w:hint="eastAsia" w:ascii="宋体" w:hAnsi="宋体" w:cs="宋体"/>
                <w:color w:val="000000"/>
                <w:kern w:val="0"/>
                <w:sz w:val="16"/>
                <w:szCs w:val="16"/>
                <w:lang w:eastAsia="zh-CN"/>
              </w:rPr>
              <w:tab/>
            </w: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30315</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物业服务补贴</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30399</w:t>
            </w: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其他对个人和家庭的补助支出</w:t>
            </w:r>
          </w:p>
        </w:tc>
        <w:tc>
          <w:tcPr>
            <w:tcW w:w="162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cs="Times New Roman"/>
                <w:color w:val="000000"/>
                <w:sz w:val="16"/>
                <w:szCs w:val="16"/>
              </w:rPr>
            </w:pPr>
            <w:r>
              <w:rPr>
                <w:rFonts w:hint="eastAsia" w:ascii="宋体" w:hAnsi="宋体" w:cs="宋体"/>
                <w:color w:val="000000"/>
                <w:kern w:val="0"/>
                <w:sz w:val="16"/>
                <w:szCs w:val="16"/>
                <w:lang w:eastAsia="zh-CN"/>
              </w:rPr>
              <w:tab/>
            </w:r>
            <w:r>
              <w:rPr>
                <w:rFonts w:hint="eastAsia" w:ascii="宋体" w:hAnsi="宋体" w:cs="宋体"/>
                <w:color w:val="000000"/>
                <w:kern w:val="0"/>
                <w:sz w:val="16"/>
                <w:szCs w:val="16"/>
                <w:lang w:val="en-US" w:eastAsia="zh-CN"/>
              </w:rPr>
              <w:t>27.19</w:t>
            </w:r>
            <w:r>
              <w:rPr>
                <w:rFonts w:hint="eastAsia" w:ascii="宋体" w:hAnsi="宋体" w:cs="宋体"/>
                <w:color w:val="000000"/>
                <w:kern w:val="0"/>
                <w:sz w:val="16"/>
                <w:szCs w:val="16"/>
                <w:lang w:eastAsia="zh-CN"/>
              </w:rPr>
              <w:tab/>
            </w: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30224</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被装购置费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专用燃料费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劳务费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委托业务费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工会经费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30229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福利费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30231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公务用车运行维护费</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30239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30240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税金及附加费用</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30299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其他商品和服务支出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b/>
                <w:bCs/>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b/>
                <w:bCs/>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b/>
                <w:bCs/>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310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其他资本性支出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left" w:pos="386"/>
                <w:tab w:val="right" w:pos="1880"/>
              </w:tabs>
              <w:jc w:val="left"/>
              <w:textAlignment w:val="center"/>
              <w:rPr>
                <w:rFonts w:ascii="宋体" w:cs="Times New Roman"/>
                <w:b/>
                <w:bCs/>
                <w:color w:val="000000"/>
                <w:sz w:val="16"/>
                <w:szCs w:val="16"/>
              </w:rPr>
            </w:pPr>
            <w:r>
              <w:rPr>
                <w:rFonts w:hint="eastAsia" w:ascii="宋体" w:hAnsi="宋体" w:cs="宋体"/>
                <w:b/>
                <w:bCs/>
                <w:color w:val="000000"/>
                <w:kern w:val="0"/>
                <w:sz w:val="16"/>
                <w:szCs w:val="16"/>
                <w:lang w:eastAsia="zh-CN"/>
              </w:rPr>
              <w:tab/>
            </w:r>
            <w:r>
              <w:rPr>
                <w:rFonts w:hint="eastAsia" w:ascii="宋体" w:hAnsi="宋体" w:cs="宋体"/>
                <w:b/>
                <w:bCs/>
                <w:color w:val="000000"/>
                <w:kern w:val="0"/>
                <w:sz w:val="16"/>
                <w:szCs w:val="16"/>
                <w:lang w:val="en-US" w:eastAsia="zh-CN"/>
              </w:rPr>
              <w:t>47.45</w:t>
            </w:r>
            <w:r>
              <w:rPr>
                <w:rFonts w:hint="eastAsia" w:ascii="宋体" w:hAnsi="宋体" w:cs="宋体"/>
                <w:b/>
                <w:bCs/>
                <w:color w:val="000000"/>
                <w:kern w:val="0"/>
                <w:sz w:val="16"/>
                <w:szCs w:val="16"/>
                <w:lang w:eastAsia="zh-CN"/>
              </w:rPr>
              <w:tab/>
            </w:r>
            <w:r>
              <w:rPr>
                <w:rFonts w:ascii="宋体" w:hAnsi="宋体" w:cs="宋体"/>
                <w:b/>
                <w:bCs/>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房屋建筑物购建</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办公设备购置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left" w:pos="536"/>
                <w:tab w:val="right" w:pos="1880"/>
              </w:tabs>
              <w:jc w:val="left"/>
              <w:textAlignment w:val="center"/>
              <w:rPr>
                <w:rFonts w:ascii="宋体" w:cs="Times New Roman"/>
                <w:color w:val="000000"/>
                <w:sz w:val="16"/>
                <w:szCs w:val="16"/>
              </w:rPr>
            </w:pPr>
            <w:r>
              <w:rPr>
                <w:rFonts w:hint="eastAsia" w:ascii="宋体" w:hAnsi="宋体" w:cs="宋体"/>
                <w:color w:val="000000"/>
                <w:kern w:val="0"/>
                <w:sz w:val="16"/>
                <w:szCs w:val="16"/>
                <w:lang w:eastAsia="zh-CN"/>
              </w:rPr>
              <w:tab/>
            </w:r>
            <w:r>
              <w:rPr>
                <w:rFonts w:hint="eastAsia" w:ascii="宋体" w:hAnsi="宋体" w:cs="宋体"/>
                <w:color w:val="000000"/>
                <w:kern w:val="0"/>
                <w:sz w:val="16"/>
                <w:szCs w:val="16"/>
                <w:lang w:val="en-US" w:eastAsia="zh-CN"/>
              </w:rPr>
              <w:t>46.65</w:t>
            </w:r>
            <w:r>
              <w:rPr>
                <w:rFonts w:hint="eastAsia" w:ascii="宋体" w:hAnsi="宋体" w:cs="宋体"/>
                <w:color w:val="000000"/>
                <w:kern w:val="0"/>
                <w:sz w:val="16"/>
                <w:szCs w:val="16"/>
                <w:lang w:eastAsia="zh-CN"/>
              </w:rPr>
              <w:tab/>
            </w: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专用设备购置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tabs>
                <w:tab w:val="center" w:pos="840"/>
                <w:tab w:val="right" w:pos="1880"/>
              </w:tabs>
              <w:jc w:val="left"/>
              <w:textAlignment w:val="center"/>
              <w:rPr>
                <w:rFonts w:ascii="宋体" w:cs="Times New Roman"/>
                <w:color w:val="000000"/>
                <w:sz w:val="16"/>
                <w:szCs w:val="16"/>
              </w:rPr>
            </w:pPr>
            <w:r>
              <w:rPr>
                <w:rFonts w:hint="eastAsia" w:ascii="宋体" w:hAnsi="宋体" w:cs="宋体"/>
                <w:color w:val="000000"/>
                <w:kern w:val="0"/>
                <w:sz w:val="16"/>
                <w:szCs w:val="16"/>
                <w:lang w:eastAsia="zh-CN"/>
              </w:rPr>
              <w:tab/>
            </w:r>
            <w:r>
              <w:rPr>
                <w:rFonts w:hint="eastAsia" w:ascii="宋体" w:hAnsi="宋体" w:cs="宋体"/>
                <w:color w:val="000000"/>
                <w:kern w:val="0"/>
                <w:sz w:val="16"/>
                <w:szCs w:val="16"/>
                <w:lang w:val="en-US" w:eastAsia="zh-CN"/>
              </w:rPr>
              <w:t>0.8</w:t>
            </w:r>
            <w:r>
              <w:rPr>
                <w:rFonts w:hint="eastAsia" w:ascii="宋体" w:hAnsi="宋体" w:cs="宋体"/>
                <w:color w:val="000000"/>
                <w:kern w:val="0"/>
                <w:sz w:val="16"/>
                <w:szCs w:val="16"/>
                <w:lang w:eastAsia="zh-CN"/>
              </w:rPr>
              <w:tab/>
            </w: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31005</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基础设施建设</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31006</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大型修缮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31007</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信息网络及软件购置更新</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31008</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物资储备</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31009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土地补偿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31010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安置补助</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31011</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地上附着物和青苗补偿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31012</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拆迁补偿</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31013</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公务用车购置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31019</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其他交通工具购置</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4"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31020</w:t>
            </w:r>
          </w:p>
        </w:tc>
        <w:tc>
          <w:tcPr>
            <w:tcW w:w="284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产权参股</w:t>
            </w:r>
          </w:p>
        </w:tc>
        <w:tc>
          <w:tcPr>
            <w:tcW w:w="171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300" w:hRule="atLeast"/>
        </w:trPr>
        <w:tc>
          <w:tcPr>
            <w:tcW w:w="715" w:type="dxa"/>
            <w:tcBorders>
              <w:top w:val="single" w:color="000000" w:sz="4" w:space="0"/>
              <w:left w:val="single" w:color="000000" w:sz="12" w:space="0"/>
              <w:bottom w:val="single" w:color="000000" w:sz="12" w:space="0"/>
              <w:right w:val="single" w:color="000000" w:sz="4" w:space="0"/>
            </w:tcBorders>
            <w:vAlign w:val="center"/>
          </w:tcPr>
          <w:p>
            <w:pPr>
              <w:jc w:val="left"/>
              <w:rPr>
                <w:rFonts w:ascii="宋体" w:cs="Times New Roman"/>
                <w:color w:val="000000"/>
                <w:sz w:val="16"/>
                <w:szCs w:val="16"/>
              </w:rPr>
            </w:pPr>
          </w:p>
        </w:tc>
        <w:tc>
          <w:tcPr>
            <w:tcW w:w="2729" w:type="dxa"/>
            <w:gridSpan w:val="2"/>
            <w:tcBorders>
              <w:top w:val="single" w:color="000000" w:sz="4" w:space="0"/>
              <w:left w:val="single" w:color="000000" w:sz="4" w:space="0"/>
              <w:bottom w:val="single" w:color="000000" w:sz="12" w:space="0"/>
              <w:right w:val="single" w:color="000000" w:sz="4" w:space="0"/>
            </w:tcBorders>
            <w:vAlign w:val="center"/>
          </w:tcPr>
          <w:p>
            <w:pPr>
              <w:jc w:val="left"/>
              <w:rPr>
                <w:rFonts w:ascii="宋体" w:cs="Times New Roman"/>
                <w:color w:val="000000"/>
                <w:sz w:val="16"/>
                <w:szCs w:val="16"/>
              </w:rPr>
            </w:pPr>
          </w:p>
        </w:tc>
        <w:tc>
          <w:tcPr>
            <w:tcW w:w="1620" w:type="dxa"/>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871"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31099</w:t>
            </w:r>
          </w:p>
        </w:tc>
        <w:tc>
          <w:tcPr>
            <w:tcW w:w="2840"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其他资本性支出</w:t>
            </w:r>
          </w:p>
        </w:tc>
        <w:tc>
          <w:tcPr>
            <w:tcW w:w="171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477" w:hRule="atLeast"/>
        </w:trPr>
        <w:tc>
          <w:tcPr>
            <w:tcW w:w="10485" w:type="dxa"/>
            <w:gridSpan w:val="9"/>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注：本表反映部门本年度一般公共预算财政拨款基本支出明细情况。</w:t>
            </w:r>
          </w:p>
        </w:tc>
      </w:tr>
    </w:tbl>
    <w:p>
      <w:pPr>
        <w:spacing w:line="360" w:lineRule="auto"/>
        <w:jc w:val="center"/>
        <w:rPr>
          <w:rFonts w:ascii="隶书" w:hAnsi="隶书" w:eastAsia="隶书" w:cs="Times New Roman"/>
          <w:sz w:val="52"/>
          <w:szCs w:val="52"/>
        </w:rPr>
        <w:sectPr>
          <w:pgSz w:w="11906" w:h="16838"/>
          <w:pgMar w:top="1440" w:right="1531" w:bottom="1440" w:left="1587" w:header="850" w:footer="992" w:gutter="0"/>
          <w:pgNumType w:fmt="numberInDash"/>
          <w:cols w:space="720" w:num="1"/>
          <w:docGrid w:type="lines" w:linePitch="317"/>
        </w:sectPr>
      </w:pPr>
    </w:p>
    <w:tbl>
      <w:tblPr>
        <w:tblW w:w="10485"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22"/>
        <w:gridCol w:w="861"/>
        <w:gridCol w:w="62"/>
        <w:gridCol w:w="585"/>
        <w:gridCol w:w="115"/>
        <w:gridCol w:w="514"/>
        <w:gridCol w:w="336"/>
        <w:gridCol w:w="294"/>
        <w:gridCol w:w="629"/>
        <w:gridCol w:w="77"/>
        <w:gridCol w:w="915"/>
        <w:gridCol w:w="509"/>
        <w:gridCol w:w="413"/>
        <w:gridCol w:w="234"/>
        <w:gridCol w:w="630"/>
        <w:gridCol w:w="59"/>
        <w:gridCol w:w="571"/>
        <w:gridCol w:w="249"/>
        <w:gridCol w:w="381"/>
        <w:gridCol w:w="439"/>
        <w:gridCol w:w="820"/>
        <w:gridCol w:w="870"/>
      </w:tblGrid>
      <w:tr>
        <w:trPr>
          <w:trHeight w:val="375" w:hRule="atLeast"/>
        </w:trPr>
        <w:tc>
          <w:tcPr>
            <w:tcW w:w="10485" w:type="dxa"/>
            <w:gridSpan w:val="22"/>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一般公共预算财政拨款“三公”经费支出决算表</w:t>
            </w:r>
          </w:p>
        </w:tc>
      </w:tr>
      <w:tr>
        <w:trPr>
          <w:trHeight w:val="285" w:hRule="atLeast"/>
        </w:trPr>
        <w:tc>
          <w:tcPr>
            <w:tcW w:w="1783" w:type="dxa"/>
            <w:gridSpan w:val="2"/>
            <w:vAlign w:val="center"/>
          </w:tcPr>
          <w:p>
            <w:pPr>
              <w:rPr>
                <w:rFonts w:ascii="宋体" w:cs="Times New Roman"/>
                <w:color w:val="000000"/>
                <w:sz w:val="16"/>
                <w:szCs w:val="16"/>
              </w:rPr>
            </w:pPr>
          </w:p>
        </w:tc>
        <w:tc>
          <w:tcPr>
            <w:tcW w:w="647" w:type="dxa"/>
            <w:gridSpan w:val="2"/>
            <w:vAlign w:val="center"/>
          </w:tcPr>
          <w:p>
            <w:pPr>
              <w:rPr>
                <w:rFonts w:ascii="宋体" w:cs="Times New Roman"/>
                <w:color w:val="000000"/>
                <w:sz w:val="16"/>
                <w:szCs w:val="16"/>
              </w:rPr>
            </w:pPr>
          </w:p>
        </w:tc>
        <w:tc>
          <w:tcPr>
            <w:tcW w:w="629"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629" w:type="dxa"/>
            <w:vAlign w:val="center"/>
          </w:tcPr>
          <w:p>
            <w:pPr>
              <w:rPr>
                <w:rFonts w:ascii="宋体" w:cs="Times New Roman"/>
                <w:color w:val="000000"/>
                <w:sz w:val="16"/>
                <w:szCs w:val="16"/>
              </w:rPr>
            </w:pPr>
          </w:p>
        </w:tc>
        <w:tc>
          <w:tcPr>
            <w:tcW w:w="992" w:type="dxa"/>
            <w:gridSpan w:val="2"/>
            <w:vAlign w:val="center"/>
          </w:tcPr>
          <w:p>
            <w:pPr>
              <w:rPr>
                <w:rFonts w:ascii="宋体" w:cs="Times New Roman"/>
                <w:color w:val="000000"/>
                <w:sz w:val="16"/>
                <w:szCs w:val="16"/>
              </w:rPr>
            </w:pPr>
          </w:p>
        </w:tc>
        <w:tc>
          <w:tcPr>
            <w:tcW w:w="509" w:type="dxa"/>
            <w:vAlign w:val="center"/>
          </w:tcPr>
          <w:p>
            <w:pPr>
              <w:rPr>
                <w:rFonts w:ascii="宋体" w:cs="Times New Roman"/>
                <w:color w:val="000000"/>
                <w:sz w:val="16"/>
                <w:szCs w:val="16"/>
              </w:rPr>
            </w:pPr>
          </w:p>
        </w:tc>
        <w:tc>
          <w:tcPr>
            <w:tcW w:w="647" w:type="dxa"/>
            <w:gridSpan w:val="2"/>
            <w:vAlign w:val="center"/>
          </w:tcPr>
          <w:p>
            <w:pPr>
              <w:rPr>
                <w:rFonts w:ascii="宋体" w:cs="Times New Roman"/>
                <w:color w:val="000000"/>
                <w:sz w:val="16"/>
                <w:szCs w:val="16"/>
              </w:rPr>
            </w:pPr>
          </w:p>
        </w:tc>
        <w:tc>
          <w:tcPr>
            <w:tcW w:w="630" w:type="dxa"/>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2129" w:type="dxa"/>
            <w:gridSpan w:val="3"/>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07</w:t>
            </w:r>
            <w:r>
              <w:rPr>
                <w:rFonts w:hint="eastAsia" w:ascii="宋体" w:hAnsi="宋体" w:cs="宋体"/>
                <w:color w:val="000000"/>
                <w:kern w:val="0"/>
                <w:sz w:val="16"/>
                <w:szCs w:val="16"/>
              </w:rPr>
              <w:t>表</w:t>
            </w:r>
          </w:p>
        </w:tc>
      </w:tr>
      <w:tr>
        <w:trPr>
          <w:trHeight w:val="270" w:hRule="atLeast"/>
        </w:trPr>
        <w:tc>
          <w:tcPr>
            <w:tcW w:w="1783" w:type="dxa"/>
            <w:gridSpan w:val="2"/>
            <w:vAlign w:val="center"/>
          </w:tcPr>
          <w:p>
            <w:pPr>
              <w:rPr>
                <w:rFonts w:ascii="宋体" w:cs="Times New Roman"/>
                <w:color w:val="000000"/>
                <w:sz w:val="16"/>
                <w:szCs w:val="16"/>
              </w:rPr>
            </w:pPr>
          </w:p>
        </w:tc>
        <w:tc>
          <w:tcPr>
            <w:tcW w:w="647" w:type="dxa"/>
            <w:gridSpan w:val="2"/>
            <w:vAlign w:val="center"/>
          </w:tcPr>
          <w:p>
            <w:pPr>
              <w:rPr>
                <w:rFonts w:ascii="宋体" w:cs="Times New Roman"/>
                <w:color w:val="000000"/>
                <w:sz w:val="16"/>
                <w:szCs w:val="16"/>
              </w:rPr>
            </w:pPr>
          </w:p>
        </w:tc>
        <w:tc>
          <w:tcPr>
            <w:tcW w:w="629"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629" w:type="dxa"/>
            <w:vAlign w:val="center"/>
          </w:tcPr>
          <w:p>
            <w:pPr>
              <w:rPr>
                <w:rFonts w:ascii="宋体" w:cs="Times New Roman"/>
                <w:color w:val="000000"/>
                <w:sz w:val="16"/>
                <w:szCs w:val="16"/>
              </w:rPr>
            </w:pPr>
          </w:p>
        </w:tc>
        <w:tc>
          <w:tcPr>
            <w:tcW w:w="992" w:type="dxa"/>
            <w:gridSpan w:val="2"/>
            <w:vAlign w:val="center"/>
          </w:tcPr>
          <w:p>
            <w:pPr>
              <w:rPr>
                <w:rFonts w:ascii="宋体" w:cs="Times New Roman"/>
                <w:color w:val="000000"/>
                <w:sz w:val="16"/>
                <w:szCs w:val="16"/>
              </w:rPr>
            </w:pPr>
          </w:p>
        </w:tc>
        <w:tc>
          <w:tcPr>
            <w:tcW w:w="509" w:type="dxa"/>
            <w:vAlign w:val="center"/>
          </w:tcPr>
          <w:p>
            <w:pPr>
              <w:rPr>
                <w:rFonts w:ascii="宋体" w:cs="Times New Roman"/>
                <w:color w:val="000000"/>
                <w:sz w:val="16"/>
                <w:szCs w:val="16"/>
              </w:rPr>
            </w:pPr>
          </w:p>
        </w:tc>
        <w:tc>
          <w:tcPr>
            <w:tcW w:w="647" w:type="dxa"/>
            <w:gridSpan w:val="2"/>
            <w:vAlign w:val="center"/>
          </w:tcPr>
          <w:p>
            <w:pPr>
              <w:rPr>
                <w:rFonts w:ascii="宋体" w:cs="Times New Roman"/>
                <w:color w:val="000000"/>
                <w:sz w:val="16"/>
                <w:szCs w:val="16"/>
              </w:rPr>
            </w:pPr>
          </w:p>
        </w:tc>
        <w:tc>
          <w:tcPr>
            <w:tcW w:w="630" w:type="dxa"/>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630" w:type="dxa"/>
            <w:gridSpan w:val="2"/>
            <w:vAlign w:val="center"/>
          </w:tcPr>
          <w:p>
            <w:pPr>
              <w:rPr>
                <w:rFonts w:ascii="宋体" w:cs="Times New Roman"/>
                <w:color w:val="000000"/>
                <w:sz w:val="16"/>
                <w:szCs w:val="16"/>
              </w:rPr>
            </w:pPr>
          </w:p>
        </w:tc>
        <w:tc>
          <w:tcPr>
            <w:tcW w:w="2129" w:type="dxa"/>
            <w:gridSpan w:val="3"/>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rPr>
          <w:trHeight w:val="300" w:hRule="atLeast"/>
        </w:trPr>
        <w:tc>
          <w:tcPr>
            <w:tcW w:w="5310" w:type="dxa"/>
            <w:gridSpan w:val="11"/>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2016</w:t>
            </w:r>
            <w:r>
              <w:rPr>
                <w:rFonts w:hint="eastAsia" w:ascii="宋体" w:hAnsi="宋体" w:cs="宋体"/>
                <w:b/>
                <w:bCs/>
                <w:color w:val="000000"/>
                <w:kern w:val="0"/>
                <w:sz w:val="16"/>
                <w:szCs w:val="16"/>
              </w:rPr>
              <w:t>年度预算数</w:t>
            </w:r>
          </w:p>
        </w:tc>
        <w:tc>
          <w:tcPr>
            <w:tcW w:w="5175" w:type="dxa"/>
            <w:gridSpan w:val="11"/>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2016</w:t>
            </w:r>
            <w:r>
              <w:rPr>
                <w:rFonts w:hint="eastAsia" w:ascii="宋体" w:hAnsi="宋体" w:cs="宋体"/>
                <w:b/>
                <w:bCs/>
                <w:color w:val="000000"/>
                <w:kern w:val="0"/>
                <w:sz w:val="16"/>
                <w:szCs w:val="16"/>
              </w:rPr>
              <w:t>年度决算数</w:t>
            </w:r>
          </w:p>
        </w:tc>
      </w:tr>
      <w:tr>
        <w:trPr>
          <w:trHeight w:val="600" w:hRule="atLeast"/>
        </w:trPr>
        <w:tc>
          <w:tcPr>
            <w:tcW w:w="922" w:type="dxa"/>
            <w:vMerge w:val="restart"/>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923"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因公出国（境）费</w:t>
            </w:r>
          </w:p>
        </w:tc>
        <w:tc>
          <w:tcPr>
            <w:tcW w:w="255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公务用车购置及运行费</w:t>
            </w:r>
          </w:p>
        </w:tc>
        <w:tc>
          <w:tcPr>
            <w:tcW w:w="91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公务接待费</w:t>
            </w:r>
          </w:p>
        </w:tc>
        <w:tc>
          <w:tcPr>
            <w:tcW w:w="92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923"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因公出国（境）费</w:t>
            </w:r>
          </w:p>
        </w:tc>
        <w:tc>
          <w:tcPr>
            <w:tcW w:w="2460"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公务用车购置及运行费</w:t>
            </w:r>
          </w:p>
        </w:tc>
        <w:tc>
          <w:tcPr>
            <w:tcW w:w="870" w:type="dxa"/>
            <w:vMerge w:val="restart"/>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公务接待费</w:t>
            </w:r>
          </w:p>
        </w:tc>
      </w:tr>
      <w:tr>
        <w:trPr>
          <w:trHeight w:val="600" w:hRule="atLeast"/>
        </w:trPr>
        <w:tc>
          <w:tcPr>
            <w:tcW w:w="922"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923"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小计</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r>
            <w:r>
              <w:rPr>
                <w:rFonts w:hint="eastAsia" w:ascii="宋体" w:hAnsi="宋体" w:cs="宋体"/>
                <w:b/>
                <w:bCs/>
                <w:color w:val="000000"/>
                <w:kern w:val="0"/>
                <w:sz w:val="16"/>
                <w:szCs w:val="16"/>
              </w:rPr>
              <w:t>购置费</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r>
            <w:r>
              <w:rPr>
                <w:rFonts w:hint="eastAsia" w:ascii="宋体" w:hAnsi="宋体" w:cs="宋体"/>
                <w:b/>
                <w:bCs/>
                <w:color w:val="000000"/>
                <w:kern w:val="0"/>
                <w:sz w:val="16"/>
                <w:szCs w:val="16"/>
              </w:rPr>
              <w:t>运行费</w:t>
            </w:r>
          </w:p>
        </w:tc>
        <w:tc>
          <w:tcPr>
            <w:tcW w:w="91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92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923"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小计</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r>
            <w:r>
              <w:rPr>
                <w:rFonts w:hint="eastAsia" w:ascii="宋体" w:hAnsi="宋体" w:cs="宋体"/>
                <w:b/>
                <w:bCs/>
                <w:color w:val="000000"/>
                <w:kern w:val="0"/>
                <w:sz w:val="16"/>
                <w:szCs w:val="16"/>
              </w:rPr>
              <w:t>购置费</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公务用车</w:t>
            </w:r>
            <w:r>
              <w:rPr>
                <w:rFonts w:ascii="宋体" w:cs="Times New Roman"/>
                <w:b/>
                <w:bCs/>
                <w:color w:val="000000"/>
                <w:kern w:val="0"/>
                <w:sz w:val="16"/>
                <w:szCs w:val="16"/>
              </w:rPr>
              <w:br/>
            </w:r>
            <w:r>
              <w:rPr>
                <w:rFonts w:hint="eastAsia" w:ascii="宋体" w:hAnsi="宋体" w:cs="宋体"/>
                <w:b/>
                <w:bCs/>
                <w:color w:val="000000"/>
                <w:kern w:val="0"/>
                <w:sz w:val="16"/>
                <w:szCs w:val="16"/>
              </w:rPr>
              <w:t>运行费</w:t>
            </w:r>
          </w:p>
        </w:tc>
        <w:tc>
          <w:tcPr>
            <w:tcW w:w="870" w:type="dxa"/>
            <w:vMerge w:val="continue"/>
            <w:tcBorders>
              <w:top w:val="single" w:color="000000" w:sz="4"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rPr>
          <w:trHeight w:val="300" w:hRule="atLeast"/>
        </w:trPr>
        <w:tc>
          <w:tcPr>
            <w:tcW w:w="922"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2</w:t>
            </w:r>
          </w:p>
        </w:tc>
        <w:tc>
          <w:tcPr>
            <w:tcW w:w="70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3</w:t>
            </w:r>
          </w:p>
        </w:tc>
        <w:tc>
          <w:tcPr>
            <w:tcW w:w="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4</w:t>
            </w:r>
          </w:p>
        </w:tc>
        <w:tc>
          <w:tcPr>
            <w:tcW w:w="1000"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5</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6</w:t>
            </w:r>
          </w:p>
        </w:tc>
        <w:tc>
          <w:tcPr>
            <w:tcW w:w="9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7</w:t>
            </w:r>
          </w:p>
        </w:tc>
        <w:tc>
          <w:tcPr>
            <w:tcW w:w="9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8</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9</w:t>
            </w:r>
          </w:p>
        </w:tc>
        <w:tc>
          <w:tcPr>
            <w:tcW w:w="8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10</w:t>
            </w:r>
          </w:p>
        </w:tc>
        <w:tc>
          <w:tcPr>
            <w:tcW w:w="8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11</w:t>
            </w:r>
          </w:p>
        </w:tc>
        <w:tc>
          <w:tcPr>
            <w:tcW w:w="87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color w:val="000000"/>
                <w:sz w:val="16"/>
                <w:szCs w:val="16"/>
              </w:rPr>
            </w:pPr>
            <w:r>
              <w:rPr>
                <w:rFonts w:ascii="宋体" w:hAnsi="宋体" w:cs="宋体"/>
                <w:color w:val="000000"/>
                <w:kern w:val="0"/>
                <w:sz w:val="16"/>
                <w:szCs w:val="16"/>
              </w:rPr>
              <w:t>12</w:t>
            </w:r>
          </w:p>
        </w:tc>
      </w:tr>
      <w:tr>
        <w:trPr>
          <w:trHeight w:val="600" w:hRule="atLeast"/>
        </w:trPr>
        <w:tc>
          <w:tcPr>
            <w:tcW w:w="922" w:type="dxa"/>
            <w:tcBorders>
              <w:top w:val="single" w:color="000000" w:sz="4" w:space="0"/>
              <w:left w:val="single" w:color="000000" w:sz="12" w:space="0"/>
              <w:bottom w:val="single" w:color="000000" w:sz="12" w:space="0"/>
              <w:right w:val="single" w:color="000000" w:sz="4" w:space="0"/>
            </w:tcBorders>
            <w:vAlign w:val="center"/>
          </w:tcPr>
          <w:p>
            <w:pPr>
              <w:tabs>
                <w:tab w:val="left" w:pos="302"/>
              </w:tabs>
              <w:jc w:val="left"/>
              <w:rPr>
                <w:rFonts w:hint="eastAsia" w:ascii="宋体" w:eastAsia="宋体" w:cs="Times New Roman"/>
                <w:b/>
                <w:bCs/>
                <w:color w:val="000000"/>
                <w:sz w:val="16"/>
                <w:szCs w:val="16"/>
                <w:lang w:eastAsia="zh-CN"/>
              </w:rPr>
            </w:pPr>
            <w:r>
              <w:rPr>
                <w:rFonts w:hint="eastAsia" w:ascii="宋体" w:cs="Times New Roman"/>
                <w:b/>
                <w:bCs/>
                <w:color w:val="000000"/>
                <w:sz w:val="16"/>
                <w:szCs w:val="16"/>
                <w:lang w:eastAsia="zh-CN"/>
              </w:rPr>
              <w:tab/>
            </w:r>
            <w:r>
              <w:rPr>
                <w:rFonts w:hint="eastAsia" w:ascii="宋体" w:cs="Times New Roman"/>
                <w:b/>
                <w:bCs/>
                <w:color w:val="000000"/>
                <w:sz w:val="16"/>
                <w:szCs w:val="16"/>
                <w:lang w:val="en-US" w:eastAsia="zh-CN"/>
              </w:rPr>
              <w:t>6.39</w:t>
            </w:r>
          </w:p>
        </w:tc>
        <w:tc>
          <w:tcPr>
            <w:tcW w:w="923"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70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85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1000" w:type="dxa"/>
            <w:gridSpan w:val="3"/>
            <w:tcBorders>
              <w:top w:val="single" w:color="000000" w:sz="4" w:space="0"/>
              <w:left w:val="single" w:color="000000" w:sz="4" w:space="0"/>
              <w:bottom w:val="single" w:color="000000" w:sz="12" w:space="0"/>
              <w:right w:val="single" w:color="000000" w:sz="4" w:space="0"/>
            </w:tcBorders>
            <w:vAlign w:val="center"/>
          </w:tcPr>
          <w:p>
            <w:pPr>
              <w:tabs>
                <w:tab w:val="left" w:pos="597"/>
              </w:tabs>
              <w:jc w:val="left"/>
              <w:rPr>
                <w:rFonts w:hint="eastAsia" w:ascii="宋体" w:eastAsia="宋体" w:cs="Times New Roman"/>
                <w:color w:val="000000"/>
                <w:sz w:val="16"/>
                <w:szCs w:val="16"/>
                <w:lang w:eastAsia="zh-CN"/>
              </w:rPr>
            </w:pPr>
            <w:r>
              <w:rPr>
                <w:rFonts w:hint="eastAsia" w:ascii="宋体" w:cs="Times New Roman"/>
                <w:color w:val="000000"/>
                <w:sz w:val="16"/>
                <w:szCs w:val="16"/>
                <w:lang w:eastAsia="zh-CN"/>
              </w:rPr>
              <w:tab/>
            </w:r>
            <w:r>
              <w:rPr>
                <w:rFonts w:hint="eastAsia" w:ascii="宋体" w:cs="Times New Roman"/>
                <w:color w:val="000000"/>
                <w:sz w:val="16"/>
                <w:szCs w:val="16"/>
                <w:lang w:val="en-US" w:eastAsia="zh-CN"/>
              </w:rPr>
              <w:t>5.01</w:t>
            </w:r>
          </w:p>
        </w:tc>
        <w:tc>
          <w:tcPr>
            <w:tcW w:w="915" w:type="dxa"/>
            <w:tcBorders>
              <w:top w:val="single" w:color="000000" w:sz="4" w:space="0"/>
              <w:left w:val="single" w:color="000000" w:sz="4" w:space="0"/>
              <w:bottom w:val="single" w:color="000000" w:sz="12" w:space="0"/>
              <w:right w:val="single" w:color="000000" w:sz="4" w:space="0"/>
            </w:tcBorders>
            <w:vAlign w:val="center"/>
          </w:tcPr>
          <w:p>
            <w:pPr>
              <w:tabs>
                <w:tab w:val="left" w:pos="362"/>
              </w:tabs>
              <w:jc w:val="left"/>
              <w:rPr>
                <w:rFonts w:hint="eastAsia" w:ascii="宋体" w:eastAsia="宋体" w:cs="Times New Roman"/>
                <w:color w:val="000000"/>
                <w:sz w:val="16"/>
                <w:szCs w:val="16"/>
                <w:lang w:eastAsia="zh-CN"/>
              </w:rPr>
            </w:pPr>
            <w:r>
              <w:rPr>
                <w:rFonts w:hint="eastAsia" w:ascii="宋体" w:cs="Times New Roman"/>
                <w:color w:val="000000"/>
                <w:sz w:val="16"/>
                <w:szCs w:val="16"/>
                <w:lang w:eastAsia="zh-CN"/>
              </w:rPr>
              <w:tab/>
            </w:r>
            <w:r>
              <w:rPr>
                <w:rFonts w:hint="eastAsia" w:ascii="宋体" w:cs="Times New Roman"/>
                <w:color w:val="000000"/>
                <w:sz w:val="16"/>
                <w:szCs w:val="16"/>
                <w:lang w:val="en-US" w:eastAsia="zh-CN"/>
              </w:rPr>
              <w:t>1.38</w:t>
            </w:r>
          </w:p>
        </w:tc>
        <w:tc>
          <w:tcPr>
            <w:tcW w:w="922"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hint="eastAsia" w:ascii="宋体" w:eastAsia="宋体" w:cs="Times New Roman"/>
                <w:b/>
                <w:bCs/>
                <w:color w:val="000000"/>
                <w:sz w:val="16"/>
                <w:szCs w:val="16"/>
                <w:lang w:val="en-US" w:eastAsia="zh-CN"/>
              </w:rPr>
            </w:pPr>
            <w:r>
              <w:rPr>
                <w:rFonts w:hint="eastAsia" w:ascii="宋体" w:cs="Times New Roman"/>
                <w:b/>
                <w:bCs/>
                <w:color w:val="000000"/>
                <w:sz w:val="16"/>
                <w:szCs w:val="16"/>
                <w:lang w:val="en-US" w:eastAsia="zh-CN"/>
              </w:rPr>
              <w:t>6.39</w:t>
            </w:r>
          </w:p>
        </w:tc>
        <w:tc>
          <w:tcPr>
            <w:tcW w:w="923" w:type="dxa"/>
            <w:gridSpan w:val="3"/>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820" w:type="dxa"/>
            <w:gridSpan w:val="2"/>
            <w:tcBorders>
              <w:top w:val="single" w:color="000000" w:sz="4" w:space="0"/>
              <w:left w:val="single" w:color="000000" w:sz="4" w:space="0"/>
              <w:bottom w:val="single" w:color="000000" w:sz="12" w:space="0"/>
              <w:right w:val="single" w:color="000000" w:sz="4" w:space="0"/>
            </w:tcBorders>
            <w:vAlign w:val="center"/>
          </w:tcPr>
          <w:p>
            <w:pPr>
              <w:jc w:val="right"/>
              <w:rPr>
                <w:rFonts w:ascii="宋体" w:cs="Times New Roman"/>
                <w:color w:val="000000"/>
                <w:sz w:val="16"/>
                <w:szCs w:val="16"/>
              </w:rPr>
            </w:pPr>
          </w:p>
        </w:tc>
        <w:tc>
          <w:tcPr>
            <w:tcW w:w="820" w:type="dxa"/>
            <w:tcBorders>
              <w:top w:val="single" w:color="000000" w:sz="4" w:space="0"/>
              <w:left w:val="single" w:color="000000" w:sz="4" w:space="0"/>
              <w:bottom w:val="single" w:color="000000" w:sz="12" w:space="0"/>
              <w:right w:val="single" w:color="000000" w:sz="4" w:space="0"/>
            </w:tcBorders>
            <w:vAlign w:val="center"/>
          </w:tcPr>
          <w:p>
            <w:pPr>
              <w:tabs>
                <w:tab w:val="left" w:pos="447"/>
              </w:tabs>
              <w:jc w:val="left"/>
              <w:rPr>
                <w:rFonts w:hint="eastAsia" w:ascii="宋体" w:eastAsia="宋体" w:cs="Times New Roman"/>
                <w:color w:val="000000"/>
                <w:sz w:val="16"/>
                <w:szCs w:val="16"/>
                <w:lang w:eastAsia="zh-CN"/>
              </w:rPr>
            </w:pPr>
            <w:r>
              <w:rPr>
                <w:rFonts w:hint="eastAsia" w:ascii="宋体" w:cs="Times New Roman"/>
                <w:color w:val="000000"/>
                <w:sz w:val="16"/>
                <w:szCs w:val="16"/>
                <w:lang w:eastAsia="zh-CN"/>
              </w:rPr>
              <w:tab/>
            </w:r>
            <w:r>
              <w:rPr>
                <w:rFonts w:hint="eastAsia" w:ascii="宋体" w:cs="Times New Roman"/>
                <w:color w:val="000000"/>
                <w:sz w:val="16"/>
                <w:szCs w:val="16"/>
                <w:lang w:val="en-US" w:eastAsia="zh-CN"/>
              </w:rPr>
              <w:t>5.01</w:t>
            </w:r>
          </w:p>
        </w:tc>
        <w:tc>
          <w:tcPr>
            <w:tcW w:w="870" w:type="dxa"/>
            <w:tcBorders>
              <w:top w:val="single" w:color="000000" w:sz="4" w:space="0"/>
              <w:left w:val="single" w:color="000000" w:sz="4" w:space="0"/>
              <w:bottom w:val="single" w:color="000000" w:sz="12" w:space="0"/>
              <w:right w:val="single" w:color="000000" w:sz="12" w:space="0"/>
            </w:tcBorders>
            <w:vAlign w:val="center"/>
          </w:tcPr>
          <w:p>
            <w:pPr>
              <w:tabs>
                <w:tab w:val="left" w:pos="287"/>
              </w:tabs>
              <w:jc w:val="left"/>
              <w:rPr>
                <w:rFonts w:hint="eastAsia" w:ascii="宋体" w:eastAsia="宋体" w:cs="Times New Roman"/>
                <w:color w:val="000000"/>
                <w:sz w:val="16"/>
                <w:szCs w:val="16"/>
                <w:lang w:eastAsia="zh-CN"/>
              </w:rPr>
            </w:pPr>
            <w:r>
              <w:rPr>
                <w:rFonts w:hint="eastAsia" w:ascii="宋体" w:cs="Times New Roman"/>
                <w:color w:val="000000"/>
                <w:sz w:val="16"/>
                <w:szCs w:val="16"/>
                <w:lang w:eastAsia="zh-CN"/>
              </w:rPr>
              <w:tab/>
            </w:r>
            <w:r>
              <w:rPr>
                <w:rFonts w:hint="eastAsia" w:ascii="宋体" w:cs="Times New Roman"/>
                <w:color w:val="000000"/>
                <w:sz w:val="16"/>
                <w:szCs w:val="16"/>
                <w:lang w:val="en-US" w:eastAsia="zh-CN"/>
              </w:rPr>
              <w:t>1.38</w:t>
            </w:r>
          </w:p>
        </w:tc>
      </w:tr>
      <w:tr>
        <w:trPr>
          <w:trHeight w:val="600" w:hRule="atLeast"/>
        </w:trPr>
        <w:tc>
          <w:tcPr>
            <w:tcW w:w="10485" w:type="dxa"/>
            <w:gridSpan w:val="22"/>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注：本表反映部门本年度“三公”经费支出预决算情况。其中，</w:t>
            </w:r>
            <w:r>
              <w:rPr>
                <w:rFonts w:ascii="宋体" w:hAnsi="宋体" w:cs="宋体"/>
                <w:color w:val="000000"/>
                <w:kern w:val="0"/>
                <w:sz w:val="16"/>
                <w:szCs w:val="16"/>
              </w:rPr>
              <w:t>2016</w:t>
            </w:r>
            <w:r>
              <w:rPr>
                <w:rFonts w:hint="eastAsia" w:ascii="宋体" w:hAnsi="宋体" w:cs="宋体"/>
                <w:color w:val="000000"/>
                <w:kern w:val="0"/>
                <w:sz w:val="16"/>
                <w:szCs w:val="16"/>
              </w:rPr>
              <w:t>年度预算数为“三公”经费年初预算数，决算数是包括当年一般公共预算财政拨款和以前年度结转资金安排的实际支出。</w:t>
            </w:r>
          </w:p>
        </w:tc>
      </w:tr>
    </w:tbl>
    <w:p>
      <w:pPr>
        <w:spacing w:line="360" w:lineRule="auto"/>
        <w:jc w:val="center"/>
        <w:rPr>
          <w:rFonts w:ascii="隶书" w:hAnsi="隶书" w:eastAsia="隶书" w:cs="Times New Roman"/>
          <w:sz w:val="52"/>
          <w:szCs w:val="52"/>
        </w:rPr>
        <w:sectPr>
          <w:pgSz w:w="11906" w:h="16838"/>
          <w:pgMar w:top="1440" w:right="1531" w:bottom="1440" w:left="1587" w:header="850" w:footer="992" w:gutter="0"/>
          <w:pgNumType w:fmt="numberInDash"/>
          <w:cols w:space="720" w:num="1"/>
          <w:docGrid w:type="lines" w:linePitch="317"/>
        </w:sectPr>
      </w:pPr>
    </w:p>
    <w:tbl>
      <w:tblPr>
        <w:tblW w:w="10500" w:type="dxa"/>
        <w:tblInd w:w="-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05"/>
        <w:gridCol w:w="886"/>
        <w:gridCol w:w="1436"/>
        <w:gridCol w:w="1166"/>
        <w:gridCol w:w="65"/>
        <w:gridCol w:w="1232"/>
        <w:gridCol w:w="751"/>
        <w:gridCol w:w="499"/>
        <w:gridCol w:w="500"/>
        <w:gridCol w:w="750"/>
        <w:gridCol w:w="1250"/>
        <w:gridCol w:w="1260"/>
      </w:tblGrid>
      <w:tr>
        <w:trPr>
          <w:trHeight w:val="375" w:hRule="atLeast"/>
        </w:trPr>
        <w:tc>
          <w:tcPr>
            <w:tcW w:w="10500" w:type="dxa"/>
            <w:gridSpan w:val="12"/>
            <w:vAlign w:val="bottom"/>
          </w:tcPr>
          <w:p>
            <w:pPr>
              <w:widowControl/>
              <w:jc w:val="center"/>
              <w:textAlignment w:val="bottom"/>
              <w:rPr>
                <w:rFonts w:ascii="黑体" w:hAnsi="宋体" w:eastAsia="黑体" w:cs="Times New Roman"/>
                <w:color w:val="000000"/>
                <w:sz w:val="28"/>
                <w:szCs w:val="28"/>
              </w:rPr>
            </w:pPr>
            <w:r>
              <w:rPr>
                <w:rFonts w:hint="eastAsia" w:ascii="黑体" w:hAnsi="宋体" w:eastAsia="黑体" w:cs="黑体"/>
                <w:color w:val="000000"/>
                <w:kern w:val="0"/>
                <w:sz w:val="28"/>
                <w:szCs w:val="28"/>
              </w:rPr>
              <w:t>政府性基金预算财政拨款收入支出决算表</w:t>
            </w:r>
          </w:p>
        </w:tc>
      </w:tr>
      <w:tr>
        <w:trPr>
          <w:trHeight w:val="285" w:hRule="atLeast"/>
        </w:trPr>
        <w:tc>
          <w:tcPr>
            <w:tcW w:w="1591" w:type="dxa"/>
            <w:gridSpan w:val="2"/>
            <w:vAlign w:val="center"/>
          </w:tcPr>
          <w:p>
            <w:pPr>
              <w:rPr>
                <w:rFonts w:ascii="宋体" w:cs="Times New Roman"/>
                <w:color w:val="000000"/>
                <w:sz w:val="16"/>
                <w:szCs w:val="16"/>
              </w:rPr>
            </w:pPr>
          </w:p>
        </w:tc>
        <w:tc>
          <w:tcPr>
            <w:tcW w:w="1436" w:type="dxa"/>
            <w:vAlign w:val="center"/>
          </w:tcPr>
          <w:p>
            <w:pPr>
              <w:rPr>
                <w:rFonts w:ascii="宋体" w:cs="Times New Roman"/>
                <w:color w:val="000000"/>
                <w:sz w:val="16"/>
                <w:szCs w:val="16"/>
              </w:rPr>
            </w:pPr>
          </w:p>
        </w:tc>
        <w:tc>
          <w:tcPr>
            <w:tcW w:w="1166" w:type="dxa"/>
            <w:vAlign w:val="center"/>
          </w:tcPr>
          <w:p>
            <w:pPr>
              <w:rPr>
                <w:rFonts w:ascii="宋体" w:cs="Times New Roman"/>
                <w:color w:val="000000"/>
                <w:sz w:val="16"/>
                <w:szCs w:val="16"/>
              </w:rPr>
            </w:pPr>
          </w:p>
        </w:tc>
        <w:tc>
          <w:tcPr>
            <w:tcW w:w="1297" w:type="dxa"/>
            <w:gridSpan w:val="2"/>
            <w:vAlign w:val="center"/>
          </w:tcPr>
          <w:p>
            <w:pPr>
              <w:rPr>
                <w:rFonts w:ascii="宋体" w:cs="Times New Roman"/>
                <w:color w:val="000000"/>
                <w:sz w:val="16"/>
                <w:szCs w:val="16"/>
              </w:rPr>
            </w:pPr>
          </w:p>
        </w:tc>
        <w:tc>
          <w:tcPr>
            <w:tcW w:w="751" w:type="dxa"/>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2000" w:type="dxa"/>
            <w:gridSpan w:val="2"/>
            <w:vAlign w:val="center"/>
          </w:tcPr>
          <w:p>
            <w:pPr>
              <w:rPr>
                <w:rFonts w:ascii="宋体" w:cs="Times New Roman"/>
                <w:color w:val="000000"/>
                <w:sz w:val="16"/>
                <w:szCs w:val="16"/>
              </w:rPr>
            </w:pPr>
          </w:p>
        </w:tc>
        <w:tc>
          <w:tcPr>
            <w:tcW w:w="1260"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公开</w:t>
            </w:r>
            <w:r>
              <w:rPr>
                <w:rFonts w:ascii="宋体" w:hAnsi="宋体" w:cs="宋体"/>
                <w:color w:val="000000"/>
                <w:kern w:val="0"/>
                <w:sz w:val="16"/>
                <w:szCs w:val="16"/>
              </w:rPr>
              <w:t>08</w:t>
            </w:r>
            <w:r>
              <w:rPr>
                <w:rFonts w:hint="eastAsia" w:ascii="宋体" w:hAnsi="宋体" w:cs="宋体"/>
                <w:color w:val="000000"/>
                <w:kern w:val="0"/>
                <w:sz w:val="16"/>
                <w:szCs w:val="16"/>
              </w:rPr>
              <w:t>表</w:t>
            </w:r>
          </w:p>
        </w:tc>
      </w:tr>
      <w:tr>
        <w:trPr>
          <w:trHeight w:val="270" w:hRule="atLeast"/>
        </w:trPr>
        <w:tc>
          <w:tcPr>
            <w:tcW w:w="1591" w:type="dxa"/>
            <w:gridSpan w:val="2"/>
            <w:vAlign w:val="center"/>
          </w:tcPr>
          <w:p>
            <w:pPr>
              <w:rPr>
                <w:rFonts w:ascii="宋体" w:cs="Times New Roman"/>
                <w:color w:val="000000"/>
                <w:sz w:val="16"/>
                <w:szCs w:val="16"/>
              </w:rPr>
            </w:pPr>
          </w:p>
        </w:tc>
        <w:tc>
          <w:tcPr>
            <w:tcW w:w="1436" w:type="dxa"/>
            <w:vAlign w:val="center"/>
          </w:tcPr>
          <w:p>
            <w:pPr>
              <w:rPr>
                <w:rFonts w:ascii="宋体" w:cs="Times New Roman"/>
                <w:color w:val="000000"/>
                <w:sz w:val="16"/>
                <w:szCs w:val="16"/>
              </w:rPr>
            </w:pPr>
          </w:p>
        </w:tc>
        <w:tc>
          <w:tcPr>
            <w:tcW w:w="1166" w:type="dxa"/>
            <w:vAlign w:val="center"/>
          </w:tcPr>
          <w:p>
            <w:pPr>
              <w:rPr>
                <w:rFonts w:ascii="宋体" w:cs="Times New Roman"/>
                <w:color w:val="000000"/>
                <w:sz w:val="16"/>
                <w:szCs w:val="16"/>
              </w:rPr>
            </w:pPr>
          </w:p>
        </w:tc>
        <w:tc>
          <w:tcPr>
            <w:tcW w:w="1297" w:type="dxa"/>
            <w:gridSpan w:val="2"/>
            <w:vAlign w:val="center"/>
          </w:tcPr>
          <w:p>
            <w:pPr>
              <w:rPr>
                <w:rFonts w:ascii="宋体" w:cs="Times New Roman"/>
                <w:color w:val="000000"/>
                <w:sz w:val="16"/>
                <w:szCs w:val="16"/>
              </w:rPr>
            </w:pPr>
          </w:p>
        </w:tc>
        <w:tc>
          <w:tcPr>
            <w:tcW w:w="751" w:type="dxa"/>
            <w:vAlign w:val="center"/>
          </w:tcPr>
          <w:p>
            <w:pPr>
              <w:rPr>
                <w:rFonts w:ascii="宋体" w:cs="Times New Roman"/>
                <w:color w:val="000000"/>
                <w:sz w:val="16"/>
                <w:szCs w:val="16"/>
              </w:rPr>
            </w:pPr>
          </w:p>
        </w:tc>
        <w:tc>
          <w:tcPr>
            <w:tcW w:w="999" w:type="dxa"/>
            <w:gridSpan w:val="2"/>
            <w:vAlign w:val="center"/>
          </w:tcPr>
          <w:p>
            <w:pPr>
              <w:rPr>
                <w:rFonts w:ascii="宋体" w:cs="Times New Roman"/>
                <w:color w:val="000000"/>
                <w:sz w:val="16"/>
                <w:szCs w:val="16"/>
              </w:rPr>
            </w:pPr>
          </w:p>
        </w:tc>
        <w:tc>
          <w:tcPr>
            <w:tcW w:w="2000" w:type="dxa"/>
            <w:gridSpan w:val="2"/>
            <w:vAlign w:val="center"/>
          </w:tcPr>
          <w:p>
            <w:pPr>
              <w:rPr>
                <w:rFonts w:ascii="宋体" w:cs="Times New Roman"/>
                <w:color w:val="000000"/>
                <w:sz w:val="16"/>
                <w:szCs w:val="16"/>
              </w:rPr>
            </w:pPr>
          </w:p>
        </w:tc>
        <w:tc>
          <w:tcPr>
            <w:tcW w:w="1260" w:type="dxa"/>
            <w:vAlign w:val="center"/>
          </w:tcPr>
          <w:p>
            <w:pPr>
              <w:widowControl/>
              <w:jc w:val="right"/>
              <w:textAlignment w:val="center"/>
              <w:rPr>
                <w:rFonts w:ascii="宋体" w:cs="Times New Roman"/>
                <w:color w:val="000000"/>
                <w:sz w:val="16"/>
                <w:szCs w:val="16"/>
              </w:rPr>
            </w:pPr>
            <w:r>
              <w:rPr>
                <w:rFonts w:hint="eastAsia" w:ascii="宋体" w:hAnsi="宋体" w:cs="宋体"/>
                <w:color w:val="000000"/>
                <w:kern w:val="0"/>
                <w:sz w:val="16"/>
                <w:szCs w:val="16"/>
              </w:rPr>
              <w:t>单位：万元</w:t>
            </w:r>
          </w:p>
        </w:tc>
      </w:tr>
      <w:tr>
        <w:trPr>
          <w:trHeight w:val="285" w:hRule="atLeast"/>
        </w:trPr>
        <w:tc>
          <w:tcPr>
            <w:tcW w:w="3027" w:type="dxa"/>
            <w:gridSpan w:val="3"/>
            <w:tcBorders>
              <w:top w:val="single" w:color="000000" w:sz="12"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　　目</w:t>
            </w:r>
          </w:p>
        </w:tc>
        <w:tc>
          <w:tcPr>
            <w:tcW w:w="1231" w:type="dxa"/>
            <w:gridSpan w:val="2"/>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年初结转和结余</w:t>
            </w:r>
          </w:p>
        </w:tc>
        <w:tc>
          <w:tcPr>
            <w:tcW w:w="1232" w:type="dxa"/>
            <w:vMerge w:val="restart"/>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本年收入</w:t>
            </w:r>
          </w:p>
        </w:tc>
        <w:tc>
          <w:tcPr>
            <w:tcW w:w="3750" w:type="dxa"/>
            <w:gridSpan w:val="5"/>
            <w:tcBorders>
              <w:top w:val="single" w:color="000000" w:sz="12"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本年支出</w:t>
            </w:r>
          </w:p>
        </w:tc>
        <w:tc>
          <w:tcPr>
            <w:tcW w:w="1260" w:type="dxa"/>
            <w:vMerge w:val="restart"/>
            <w:tcBorders>
              <w:top w:val="single" w:color="000000" w:sz="12"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年末结转和结余</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功能分类</w:t>
            </w:r>
            <w:r>
              <w:rPr>
                <w:rFonts w:ascii="宋体" w:cs="Times New Roman"/>
                <w:b/>
                <w:bCs/>
                <w:color w:val="000000"/>
                <w:kern w:val="0"/>
                <w:sz w:val="16"/>
                <w:szCs w:val="16"/>
              </w:rPr>
              <w:br/>
            </w:r>
            <w:r>
              <w:rPr>
                <w:rFonts w:hint="eastAsia" w:ascii="宋体" w:hAnsi="宋体" w:cs="宋体"/>
                <w:b/>
                <w:bCs/>
                <w:color w:val="000000"/>
                <w:kern w:val="0"/>
                <w:sz w:val="16"/>
                <w:szCs w:val="16"/>
              </w:rPr>
              <w:t>科目编码</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科目名称</w:t>
            </w:r>
          </w:p>
        </w:tc>
        <w:tc>
          <w:tcPr>
            <w:tcW w:w="1231" w:type="dxa"/>
            <w:gridSpan w:val="2"/>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32" w:type="dxa"/>
            <w:vMerge w:val="continue"/>
            <w:tcBorders>
              <w:top w:val="single" w:color="000000" w:sz="12" w:space="0"/>
              <w:left w:val="single" w:color="000000" w:sz="4" w:space="0"/>
              <w:bottom w:val="single" w:color="000000" w:sz="4" w:space="0"/>
              <w:right w:val="single" w:color="000000" w:sz="4" w:space="0"/>
            </w:tcBorders>
            <w:vAlign w:val="center"/>
          </w:tcPr>
          <w:p>
            <w:pPr>
              <w:jc w:val="center"/>
              <w:rPr>
                <w:rFonts w:ascii="宋体" w:cs="Times New Roman"/>
                <w:b/>
                <w:bCs/>
                <w:color w:val="00000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小计</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基本支出</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项目支出</w:t>
            </w:r>
          </w:p>
        </w:tc>
        <w:tc>
          <w:tcPr>
            <w:tcW w:w="1260" w:type="dxa"/>
            <w:vMerge w:val="continue"/>
            <w:tcBorders>
              <w:top w:val="single" w:color="000000" w:sz="12" w:space="0"/>
              <w:left w:val="single" w:color="000000" w:sz="4" w:space="0"/>
              <w:bottom w:val="single" w:color="000000" w:sz="4" w:space="0"/>
              <w:right w:val="single" w:color="000000" w:sz="12" w:space="0"/>
            </w:tcBorders>
            <w:vAlign w:val="center"/>
          </w:tcPr>
          <w:p>
            <w:pPr>
              <w:jc w:val="center"/>
              <w:rPr>
                <w:rFonts w:ascii="宋体" w:cs="Times New Roman"/>
                <w:b/>
                <w:bCs/>
                <w:color w:val="000000"/>
                <w:sz w:val="16"/>
                <w:szCs w:val="16"/>
              </w:rPr>
            </w:pP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栏次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1</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2</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3</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4</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5</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center"/>
              <w:textAlignment w:val="center"/>
              <w:rPr>
                <w:rFonts w:ascii="宋体" w:cs="Times New Roman"/>
                <w:b/>
                <w:bCs/>
                <w:color w:val="000000"/>
                <w:sz w:val="16"/>
                <w:szCs w:val="16"/>
              </w:rPr>
            </w:pPr>
            <w:r>
              <w:rPr>
                <w:rFonts w:ascii="宋体" w:hAnsi="宋体" w:cs="宋体"/>
                <w:b/>
                <w:bCs/>
                <w:color w:val="000000"/>
                <w:kern w:val="0"/>
                <w:sz w:val="16"/>
                <w:szCs w:val="16"/>
              </w:rPr>
              <w:t>6</w:t>
            </w:r>
          </w:p>
        </w:tc>
      </w:tr>
      <w:tr>
        <w:trPr>
          <w:trHeight w:val="285" w:hRule="atLeast"/>
        </w:trPr>
        <w:tc>
          <w:tcPr>
            <w:tcW w:w="3027" w:type="dxa"/>
            <w:gridSpan w:val="3"/>
            <w:tcBorders>
              <w:top w:val="single" w:color="000000" w:sz="4" w:space="0"/>
              <w:left w:val="single" w:color="000000" w:sz="12" w:space="0"/>
              <w:bottom w:val="single" w:color="000000" w:sz="4" w:space="0"/>
              <w:right w:val="single" w:color="000000" w:sz="4" w:space="0"/>
            </w:tcBorders>
            <w:vAlign w:val="center"/>
          </w:tcPr>
          <w:p>
            <w:pPr>
              <w:widowControl/>
              <w:jc w:val="center"/>
              <w:textAlignment w:val="center"/>
              <w:rPr>
                <w:rFonts w:ascii="宋体" w:cs="Times New Roman"/>
                <w:b/>
                <w:bCs/>
                <w:color w:val="000000"/>
                <w:sz w:val="16"/>
                <w:szCs w:val="16"/>
              </w:rPr>
            </w:pPr>
            <w:r>
              <w:rPr>
                <w:rFonts w:hint="eastAsia" w:ascii="宋体" w:hAnsi="宋体" w:cs="宋体"/>
                <w:b/>
                <w:bCs/>
                <w:color w:val="000000"/>
                <w:kern w:val="0"/>
                <w:sz w:val="16"/>
                <w:szCs w:val="16"/>
              </w:rPr>
              <w:t>合计</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207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文化体育与传媒支出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20707</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国家电影事业发展专项资金及对应专项债务收入安排的支出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2070701</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资助国产影片放映</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2070702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资助城市影院</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2070703</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资助少数民族电影译制</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420"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2070799</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 xml:space="preserve">  </w:t>
            </w:r>
            <w:r>
              <w:rPr>
                <w:rFonts w:hint="eastAsia" w:ascii="宋体" w:hAnsi="宋体" w:cs="宋体"/>
                <w:color w:val="000000"/>
                <w:kern w:val="0"/>
                <w:sz w:val="16"/>
                <w:szCs w:val="16"/>
              </w:rPr>
              <w:t>其他国家电影事业发展专项资金支出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ascii="宋体" w:hAnsi="宋体" w:cs="宋体"/>
                <w:b/>
                <w:bCs/>
                <w:color w:val="000000"/>
                <w:kern w:val="0"/>
                <w:sz w:val="16"/>
                <w:szCs w:val="16"/>
              </w:rPr>
              <w:t>208</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b/>
                <w:bCs/>
                <w:color w:val="000000"/>
                <w:sz w:val="16"/>
                <w:szCs w:val="16"/>
              </w:rPr>
            </w:pPr>
            <w:r>
              <w:rPr>
                <w:rFonts w:hint="eastAsia" w:ascii="宋体" w:hAnsi="宋体" w:cs="宋体"/>
                <w:b/>
                <w:bCs/>
                <w:color w:val="000000"/>
                <w:kern w:val="0"/>
                <w:sz w:val="16"/>
                <w:szCs w:val="16"/>
              </w:rPr>
              <w:t>社会保障和就业支出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b/>
                <w:bCs/>
                <w:color w:val="000000"/>
                <w:sz w:val="16"/>
                <w:szCs w:val="16"/>
              </w:rPr>
            </w:pPr>
            <w:r>
              <w:rPr>
                <w:rFonts w:ascii="宋体" w:hAnsi="宋体" w:cs="宋体"/>
                <w:b/>
                <w:bCs/>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ascii="宋体" w:hAnsi="宋体" w:cs="宋体"/>
                <w:color w:val="000000"/>
                <w:kern w:val="0"/>
                <w:sz w:val="16"/>
                <w:szCs w:val="16"/>
              </w:rPr>
              <w:t>20822</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大中型水库移民后期扶持基金支出</w:t>
            </w: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sz w:val="16"/>
                <w:szCs w:val="16"/>
              </w:rPr>
            </w:pPr>
            <w:r>
              <w:rPr>
                <w:rFonts w:ascii="宋体" w:hAnsi="宋体" w:cs="宋体"/>
                <w:color w:val="000000"/>
                <w:kern w:val="0"/>
                <w:sz w:val="16"/>
                <w:szCs w:val="16"/>
              </w:rPr>
              <w:t xml:space="preserve"> </w:t>
            </w: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rPr>
          <w:trHeight w:val="285" w:hRule="atLeast"/>
        </w:trPr>
        <w:tc>
          <w:tcPr>
            <w:tcW w:w="705" w:type="dxa"/>
            <w:tcBorders>
              <w:top w:val="single" w:color="000000" w:sz="4" w:space="0"/>
              <w:left w:val="single" w:color="000000" w:sz="12"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cs="Times New Roman"/>
                <w:color w:val="000000"/>
                <w:kern w:val="0"/>
                <w:sz w:val="16"/>
                <w:szCs w:val="16"/>
              </w:rPr>
            </w:pPr>
          </w:p>
        </w:tc>
        <w:tc>
          <w:tcPr>
            <w:tcW w:w="1231"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3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gridSpan w:val="2"/>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5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cs="Times New Roman"/>
                <w:color w:val="000000"/>
                <w:kern w:val="0"/>
                <w:sz w:val="16"/>
                <w:szCs w:val="16"/>
              </w:rPr>
            </w:pPr>
          </w:p>
        </w:tc>
        <w:tc>
          <w:tcPr>
            <w:tcW w:w="1260" w:type="dxa"/>
            <w:tcBorders>
              <w:top w:val="single" w:color="000000" w:sz="4" w:space="0"/>
              <w:left w:val="single" w:color="000000" w:sz="4" w:space="0"/>
              <w:bottom w:val="single" w:color="000000" w:sz="4" w:space="0"/>
              <w:right w:val="single" w:color="000000" w:sz="12" w:space="0"/>
            </w:tcBorders>
            <w:vAlign w:val="center"/>
          </w:tcPr>
          <w:p>
            <w:pPr>
              <w:widowControl/>
              <w:jc w:val="right"/>
              <w:textAlignment w:val="center"/>
              <w:rPr>
                <w:rFonts w:ascii="宋体" w:cs="Times New Roman"/>
                <w:color w:val="000000"/>
                <w:kern w:val="0"/>
                <w:sz w:val="16"/>
                <w:szCs w:val="16"/>
              </w:rPr>
            </w:pPr>
          </w:p>
        </w:tc>
      </w:tr>
      <w:tr>
        <w:trPr>
          <w:trHeight w:val="270" w:hRule="atLeast"/>
        </w:trPr>
        <w:tc>
          <w:tcPr>
            <w:tcW w:w="705" w:type="dxa"/>
            <w:tcBorders>
              <w:top w:val="single" w:color="000000" w:sz="4" w:space="0"/>
              <w:left w:val="single" w:color="000000" w:sz="12"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w:t>
            </w:r>
          </w:p>
        </w:tc>
        <w:tc>
          <w:tcPr>
            <w:tcW w:w="2322" w:type="dxa"/>
            <w:gridSpan w:val="2"/>
            <w:tcBorders>
              <w:top w:val="single" w:color="000000" w:sz="4" w:space="0"/>
              <w:left w:val="single" w:color="000000" w:sz="4" w:space="0"/>
              <w:bottom w:val="single" w:color="000000" w:sz="12" w:space="0"/>
              <w:right w:val="single" w:color="000000" w:sz="4" w:space="0"/>
            </w:tcBorders>
            <w:vAlign w:val="center"/>
          </w:tcPr>
          <w:p>
            <w:pPr>
              <w:widowControl/>
              <w:jc w:val="left"/>
              <w:textAlignment w:val="center"/>
              <w:rPr>
                <w:rFonts w:ascii="宋体" w:cs="Times New Roman"/>
                <w:color w:val="000000"/>
                <w:sz w:val="16"/>
                <w:szCs w:val="16"/>
              </w:rPr>
            </w:pPr>
          </w:p>
        </w:tc>
        <w:tc>
          <w:tcPr>
            <w:tcW w:w="1231"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32"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50" w:type="dxa"/>
            <w:gridSpan w:val="2"/>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50" w:type="dxa"/>
            <w:tcBorders>
              <w:top w:val="single" w:color="000000" w:sz="4" w:space="0"/>
              <w:left w:val="single" w:color="000000" w:sz="4" w:space="0"/>
              <w:bottom w:val="single" w:color="000000" w:sz="12" w:space="0"/>
              <w:right w:val="single" w:color="000000" w:sz="4" w:space="0"/>
            </w:tcBorders>
            <w:vAlign w:val="center"/>
          </w:tcPr>
          <w:p>
            <w:pPr>
              <w:widowControl/>
              <w:jc w:val="right"/>
              <w:textAlignment w:val="center"/>
              <w:rPr>
                <w:rFonts w:ascii="宋体" w:cs="Times New Roman"/>
                <w:color w:val="000000"/>
                <w:sz w:val="16"/>
                <w:szCs w:val="16"/>
              </w:rPr>
            </w:pPr>
          </w:p>
        </w:tc>
        <w:tc>
          <w:tcPr>
            <w:tcW w:w="1260" w:type="dxa"/>
            <w:tcBorders>
              <w:top w:val="single" w:color="000000" w:sz="4" w:space="0"/>
              <w:left w:val="single" w:color="000000" w:sz="4" w:space="0"/>
              <w:bottom w:val="single" w:color="000000" w:sz="12" w:space="0"/>
              <w:right w:val="single" w:color="000000" w:sz="12" w:space="0"/>
            </w:tcBorders>
            <w:vAlign w:val="center"/>
          </w:tcPr>
          <w:p>
            <w:pPr>
              <w:widowControl/>
              <w:jc w:val="right"/>
              <w:textAlignment w:val="center"/>
              <w:rPr>
                <w:rFonts w:ascii="宋体" w:cs="Times New Roman"/>
                <w:color w:val="000000"/>
                <w:sz w:val="16"/>
                <w:szCs w:val="16"/>
              </w:rPr>
            </w:pPr>
          </w:p>
        </w:tc>
      </w:tr>
      <w:tr>
        <w:trPr>
          <w:trHeight w:val="285" w:hRule="atLeast"/>
        </w:trPr>
        <w:tc>
          <w:tcPr>
            <w:tcW w:w="10500" w:type="dxa"/>
            <w:gridSpan w:val="12"/>
            <w:vAlign w:val="center"/>
          </w:tcPr>
          <w:p>
            <w:pPr>
              <w:widowControl/>
              <w:jc w:val="left"/>
              <w:textAlignment w:val="center"/>
              <w:rPr>
                <w:rFonts w:ascii="宋体" w:cs="Times New Roman"/>
                <w:color w:val="000000"/>
                <w:sz w:val="16"/>
                <w:szCs w:val="16"/>
              </w:rPr>
            </w:pPr>
            <w:r>
              <w:rPr>
                <w:rFonts w:hint="eastAsia" w:ascii="宋体" w:hAnsi="宋体" w:cs="宋体"/>
                <w:color w:val="000000"/>
                <w:kern w:val="0"/>
                <w:sz w:val="16"/>
                <w:szCs w:val="16"/>
              </w:rPr>
              <w:t>注：本表反映部门本年度政府性基金预算财政拨款收入支出及结转和结余情况。</w:t>
            </w:r>
          </w:p>
        </w:tc>
      </w:tr>
      <w:tr>
        <w:trPr>
          <w:trHeight w:val="285" w:hRule="atLeast"/>
        </w:trPr>
        <w:tc>
          <w:tcPr>
            <w:tcW w:w="10500" w:type="dxa"/>
            <w:gridSpan w:val="12"/>
            <w:vAlign w:val="center"/>
          </w:tcPr>
          <w:p>
            <w:pPr>
              <w:widowControl/>
              <w:jc w:val="left"/>
              <w:textAlignment w:val="center"/>
              <w:rPr>
                <w:rFonts w:ascii="宋体" w:cs="Times New Roman"/>
                <w:b/>
                <w:bCs/>
                <w:color w:val="FF0000"/>
                <w:sz w:val="20"/>
                <w:szCs w:val="20"/>
              </w:rPr>
            </w:pPr>
            <w:r>
              <w:rPr>
                <w:rFonts w:hint="eastAsia" w:ascii="宋体" w:hAnsi="宋体" w:cs="宋体"/>
                <w:b/>
                <w:bCs/>
                <w:color w:val="FF0000"/>
                <w:kern w:val="0"/>
                <w:sz w:val="20"/>
                <w:szCs w:val="20"/>
              </w:rPr>
              <w:t>（该报表全部数据为零时）说明：</w:t>
            </w:r>
            <w:r>
              <w:rPr>
                <w:rFonts w:ascii="宋体" w:hAnsi="宋体" w:cs="宋体"/>
                <w:b/>
                <w:bCs/>
                <w:color w:val="FF0000"/>
                <w:kern w:val="0"/>
                <w:sz w:val="20"/>
                <w:szCs w:val="20"/>
              </w:rPr>
              <w:t>xx</w:t>
            </w:r>
            <w:r>
              <w:rPr>
                <w:rFonts w:hint="eastAsia" w:ascii="宋体" w:hAnsi="宋体" w:cs="宋体"/>
                <w:b/>
                <w:bCs/>
                <w:color w:val="FF0000"/>
                <w:kern w:val="0"/>
                <w:sz w:val="20"/>
                <w:szCs w:val="20"/>
              </w:rPr>
              <w:t>局（委）没有政府性基金收入，也没有使用政府性基金安排的支出，故本表无数据。</w:t>
            </w:r>
          </w:p>
        </w:tc>
      </w:tr>
    </w:tbl>
    <w:p>
      <w:pPr>
        <w:spacing w:line="360" w:lineRule="auto"/>
        <w:jc w:val="center"/>
        <w:rPr>
          <w:rFonts w:ascii="隶书" w:hAnsi="隶书" w:eastAsia="隶书" w:cs="Times New Roman"/>
          <w:sz w:val="52"/>
          <w:szCs w:val="52"/>
        </w:rPr>
        <w:sectPr>
          <w:pgSz w:w="11906" w:h="16838"/>
          <w:pgMar w:top="1440" w:right="1531" w:bottom="1440" w:left="1587" w:header="850" w:footer="992" w:gutter="0"/>
          <w:pgNumType w:fmt="numberInDash"/>
          <w:cols w:space="720" w:num="1"/>
          <w:docGrid w:type="lines" w:linePitch="317"/>
        </w:sect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pPr>
      <w:r>
        <w:rPr>
          <w:rFonts w:hint="eastAsia" w:ascii="隶书" w:hAnsi="隶书" w:eastAsia="隶书" w:cs="隶书"/>
          <w:sz w:val="48"/>
          <w:szCs w:val="48"/>
        </w:rPr>
        <w:t>第三部分</w:t>
      </w:r>
    </w:p>
    <w:p>
      <w:pPr>
        <w:jc w:val="center"/>
        <w:rPr>
          <w:rFonts w:hint="eastAsia" w:ascii="隶书" w:hAnsi="隶书" w:eastAsia="隶书" w:cs="隶书"/>
          <w:sz w:val="48"/>
          <w:szCs w:val="48"/>
          <w:lang w:eastAsia="zh-CN"/>
        </w:rPr>
      </w:pPr>
      <w:r>
        <w:rPr>
          <w:rFonts w:hint="eastAsia" w:ascii="隶书" w:hAnsi="隶书" w:eastAsia="隶书" w:cs="隶书"/>
          <w:sz w:val="48"/>
          <w:szCs w:val="48"/>
          <w:lang w:eastAsia="zh-CN"/>
        </w:rPr>
        <w:t>李万街道办事处</w:t>
      </w:r>
    </w:p>
    <w:p>
      <w:pPr>
        <w:jc w:val="center"/>
        <w:rPr>
          <w:rFonts w:ascii="隶书" w:hAnsi="隶书" w:eastAsia="隶书" w:cs="Times New Roman"/>
          <w:sz w:val="48"/>
          <w:szCs w:val="48"/>
        </w:rPr>
        <w:sectPr>
          <w:pgSz w:w="11906" w:h="16838"/>
          <w:pgMar w:top="1440" w:right="1531" w:bottom="1440" w:left="1587" w:header="850" w:footer="992" w:gutter="0"/>
          <w:pgNumType w:fmt="numberInDash"/>
          <w:cols w:space="720" w:num="1"/>
          <w:docGrid w:type="lines" w:linePitch="317"/>
        </w:sectPr>
      </w:pPr>
      <w:r>
        <w:rPr>
          <w:rFonts w:ascii="隶书" w:hAnsi="隶书" w:eastAsia="隶书" w:cs="隶书"/>
          <w:sz w:val="48"/>
          <w:szCs w:val="48"/>
        </w:rPr>
        <w:t>2016</w:t>
      </w:r>
      <w:r>
        <w:rPr>
          <w:rFonts w:hint="eastAsia" w:ascii="隶书" w:hAnsi="隶书" w:eastAsia="隶书" w:cs="隶书"/>
          <w:sz w:val="48"/>
          <w:szCs w:val="48"/>
        </w:rPr>
        <w:t>年度部门决算情况说明</w:t>
      </w:r>
    </w:p>
    <w:p>
      <w:pPr>
        <w:numPr>
          <w:ilvl w:val="0"/>
          <w:numId w:val="4"/>
        </w:numPr>
        <w:adjustRightInd w:val="0"/>
        <w:snapToGrid w:val="0"/>
        <w:spacing w:line="360" w:lineRule="auto"/>
        <w:ind w:firstLine="31680" w:firstLineChars="200"/>
        <w:outlineLvl w:val="1"/>
        <w:rPr>
          <w:rFonts w:ascii="黑体" w:hAnsi="黑体" w:eastAsia="黑体" w:cs="Times New Roman"/>
          <w:sz w:val="32"/>
          <w:szCs w:val="32"/>
        </w:rPr>
      </w:pPr>
      <w:r>
        <w:rPr>
          <w:rFonts w:hint="eastAsia" w:ascii="黑体" w:hAnsi="黑体" w:eastAsia="黑体" w:cs="黑体"/>
          <w:sz w:val="32"/>
          <w:szCs w:val="32"/>
        </w:rPr>
        <w:t>关于收入支出决算总体情况说明</w:t>
      </w:r>
    </w:p>
    <w:p>
      <w:pPr>
        <w:adjustRightInd w:val="0"/>
        <w:snapToGrid w:val="0"/>
        <w:spacing w:line="360" w:lineRule="auto"/>
        <w:ind w:firstLine="3168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年度收入总计</w:t>
      </w:r>
      <w:r>
        <w:rPr>
          <w:rFonts w:hint="eastAsia" w:ascii="仿宋_GB2312" w:hAnsi="宋体" w:eastAsia="仿宋_GB2312" w:cs="仿宋_GB2312"/>
          <w:sz w:val="32"/>
          <w:szCs w:val="32"/>
          <w:lang w:val="en-US" w:eastAsia="zh-CN"/>
        </w:rPr>
        <w:t>2964.05</w:t>
      </w:r>
      <w:r>
        <w:rPr>
          <w:rFonts w:hint="eastAsia" w:ascii="仿宋_GB2312" w:hAnsi="宋体" w:eastAsia="仿宋_GB2312" w:cs="仿宋_GB2312"/>
          <w:sz w:val="32"/>
          <w:szCs w:val="32"/>
        </w:rPr>
        <w:t>万元，支出总计</w:t>
      </w:r>
      <w:r>
        <w:rPr>
          <w:rFonts w:hint="eastAsia" w:ascii="仿宋_GB2312" w:hAnsi="宋体" w:eastAsia="仿宋_GB2312" w:cs="仿宋_GB2312"/>
          <w:sz w:val="32"/>
          <w:szCs w:val="32"/>
          <w:lang w:val="en-US" w:eastAsia="zh-CN"/>
        </w:rPr>
        <w:t>2873.28</w:t>
      </w:r>
      <w:r>
        <w:rPr>
          <w:rFonts w:hint="eastAsia" w:ascii="仿宋_GB2312" w:hAnsi="宋体" w:eastAsia="仿宋_GB2312" w:cs="仿宋_GB2312"/>
          <w:sz w:val="32"/>
          <w:szCs w:val="32"/>
        </w:rPr>
        <w:t>万元，与</w:t>
      </w:r>
      <w:r>
        <w:rPr>
          <w:rFonts w:ascii="仿宋_GB2312" w:hAnsi="宋体" w:eastAsia="仿宋_GB2312" w:cs="仿宋_GB2312"/>
          <w:sz w:val="32"/>
          <w:szCs w:val="32"/>
        </w:rPr>
        <w:t>2015</w:t>
      </w:r>
      <w:r>
        <w:rPr>
          <w:rFonts w:hint="eastAsia" w:ascii="仿宋_GB2312" w:hAnsi="宋体" w:eastAsia="仿宋_GB2312" w:cs="仿宋_GB2312"/>
          <w:sz w:val="32"/>
          <w:szCs w:val="32"/>
        </w:rPr>
        <w:t>年相比，收、支总计各增加</w:t>
      </w:r>
      <w:r>
        <w:rPr>
          <w:rFonts w:hint="eastAsia" w:ascii="仿宋_GB2312" w:hAnsi="宋体" w:eastAsia="仿宋_GB2312" w:cs="仿宋_GB2312"/>
          <w:sz w:val="32"/>
          <w:szCs w:val="32"/>
          <w:lang w:val="en-US" w:eastAsia="zh-CN"/>
        </w:rPr>
        <w:t>2376.33</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2473.97万元；</w:t>
      </w:r>
      <w:r>
        <w:rPr>
          <w:rFonts w:hint="eastAsia" w:ascii="仿宋_GB2312" w:hAnsi="宋体" w:eastAsia="仿宋_GB2312" w:cs="仿宋_GB2312"/>
          <w:sz w:val="32"/>
          <w:szCs w:val="32"/>
        </w:rPr>
        <w:t>增长</w:t>
      </w:r>
      <w:r>
        <w:rPr>
          <w:rFonts w:hint="eastAsia" w:ascii="仿宋_GB2312" w:hAnsi="宋体" w:eastAsia="仿宋_GB2312" w:cs="仿宋_GB2312"/>
          <w:sz w:val="32"/>
          <w:szCs w:val="32"/>
          <w:lang w:val="en-US" w:eastAsia="zh-CN"/>
        </w:rPr>
        <w:t>404.33</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619.56%。</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图</w:t>
      </w:r>
      <w:r>
        <w:rPr>
          <w:rFonts w:ascii="宋体" w:hAnsi="宋体" w:cs="宋体"/>
          <w:sz w:val="24"/>
          <w:szCs w:val="24"/>
        </w:rPr>
        <w:t>1</w:t>
      </w:r>
      <w:r>
        <w:rPr>
          <w:rFonts w:hint="eastAsia" w:ascii="宋体" w:hAnsi="宋体" w:cs="宋体"/>
          <w:sz w:val="24"/>
          <w:szCs w:val="24"/>
        </w:rPr>
        <w:t>：收、支决算总计变动情况</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（单位：万元）</w:t>
      </w:r>
    </w:p>
    <w:p>
      <w:pPr>
        <w:adjustRightInd w:val="0"/>
        <w:snapToGrid w:val="0"/>
        <w:spacing w:line="360" w:lineRule="auto"/>
        <w:rPr>
          <w:rFonts w:ascii="仿宋_GB2312" w:hAnsi="宋体" w:eastAsia="仿宋_GB2312" w:cs="Times New Roman"/>
          <w:sz w:val="32"/>
          <w:szCs w:val="32"/>
        </w:rPr>
      </w:pPr>
    </w:p>
    <w:p>
      <w:pPr>
        <w:adjustRightInd w:val="0"/>
        <w:snapToGrid w:val="0"/>
        <w:spacing w:line="360" w:lineRule="auto"/>
        <w:rPr>
          <w:rFonts w:ascii="仿宋_GB2312" w:hAnsi="宋体" w:eastAsia="仿宋_GB2312" w:cs="Times New Roman"/>
          <w:sz w:val="32"/>
          <w:szCs w:val="32"/>
        </w:rPr>
      </w:pPr>
    </w:p>
    <w:p>
      <w:pPr>
        <w:adjustRightInd w:val="0"/>
        <w:snapToGrid w:val="0"/>
        <w:spacing w:line="360" w:lineRule="auto"/>
        <w:rPr>
          <w:rFonts w:ascii="仿宋_GB2312" w:hAnsi="宋体" w:eastAsia="仿宋_GB2312" w:cs="Times New Roman"/>
          <w:sz w:val="32"/>
          <w:szCs w:val="32"/>
        </w:rPr>
      </w:pPr>
    </w:p>
    <w:p>
      <w:pPr>
        <w:numPr>
          <w:ilvl w:val="0"/>
          <w:numId w:val="4"/>
        </w:numPr>
        <w:adjustRightInd w:val="0"/>
        <w:snapToGrid w:val="0"/>
        <w:spacing w:line="360" w:lineRule="auto"/>
        <w:ind w:firstLine="31680" w:firstLineChars="200"/>
        <w:outlineLvl w:val="1"/>
        <w:rPr>
          <w:rFonts w:ascii="黑体" w:hAnsi="黑体" w:eastAsia="黑体" w:cs="Times New Roman"/>
          <w:sz w:val="32"/>
          <w:szCs w:val="32"/>
        </w:rPr>
      </w:pPr>
      <w:r>
        <w:rPr>
          <w:rFonts w:hint="eastAsia" w:ascii="黑体" w:hAnsi="黑体" w:eastAsia="黑体" w:cs="黑体"/>
          <w:sz w:val="32"/>
          <w:szCs w:val="32"/>
        </w:rPr>
        <w:t>关于收入决算情况说明</w:t>
      </w:r>
    </w:p>
    <w:p>
      <w:pPr>
        <w:adjustRightInd w:val="0"/>
        <w:snapToGrid w:val="0"/>
        <w:spacing w:line="360" w:lineRule="auto"/>
        <w:ind w:firstLine="31680" w:firstLineChars="200"/>
        <w:rPr>
          <w:rFonts w:ascii="仿宋_GB2312" w:hAnsi="Times New Roman"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w:t>
      </w:r>
      <w:r>
        <w:rPr>
          <w:rFonts w:hint="eastAsia" w:ascii="仿宋_GB2312" w:hAnsi="Times New Roman" w:eastAsia="仿宋_GB2312" w:cs="仿宋_GB2312"/>
          <w:sz w:val="32"/>
          <w:szCs w:val="32"/>
        </w:rPr>
        <w:t>收入合计</w:t>
      </w:r>
      <w:r>
        <w:rPr>
          <w:rFonts w:hint="eastAsia" w:ascii="仿宋_GB2312" w:hAnsi="Times New Roman" w:eastAsia="仿宋_GB2312" w:cs="仿宋_GB2312"/>
          <w:sz w:val="32"/>
          <w:szCs w:val="32"/>
          <w:lang w:val="en-US" w:eastAsia="zh-CN"/>
        </w:rPr>
        <w:t>2964.05</w:t>
      </w:r>
      <w:r>
        <w:rPr>
          <w:rFonts w:hint="eastAsia" w:ascii="仿宋_GB2312" w:hAnsi="Times New Roman" w:eastAsia="仿宋_GB2312" w:cs="仿宋_GB2312"/>
          <w:sz w:val="32"/>
          <w:szCs w:val="32"/>
        </w:rPr>
        <w:t>万元，其中：财政拨款收入</w:t>
      </w:r>
      <w:r>
        <w:rPr>
          <w:rFonts w:hint="eastAsia" w:ascii="仿宋_GB2312" w:hAnsi="Times New Roman" w:eastAsia="仿宋_GB2312" w:cs="仿宋_GB2312"/>
          <w:sz w:val="32"/>
          <w:szCs w:val="32"/>
          <w:lang w:val="en-US" w:eastAsia="zh-CN"/>
        </w:rPr>
        <w:t>2284.05</w:t>
      </w:r>
      <w:r>
        <w:rPr>
          <w:rFonts w:hint="eastAsia" w:ascii="仿宋_GB2312" w:hAnsi="Times New Roman" w:eastAsia="仿宋_GB2312" w:cs="仿宋_GB2312"/>
          <w:sz w:val="32"/>
          <w:szCs w:val="32"/>
        </w:rPr>
        <w:t>万元，占</w:t>
      </w:r>
      <w:r>
        <w:rPr>
          <w:rFonts w:hint="eastAsia" w:ascii="仿宋_GB2312" w:hAnsi="Times New Roman" w:eastAsia="仿宋_GB2312" w:cs="仿宋_GB2312"/>
          <w:sz w:val="32"/>
          <w:szCs w:val="32"/>
          <w:lang w:val="en-US" w:eastAsia="zh-CN"/>
        </w:rPr>
        <w:t>77.06</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；其他收入</w:t>
      </w:r>
      <w:r>
        <w:rPr>
          <w:rFonts w:hint="eastAsia" w:ascii="仿宋_GB2312" w:hAnsi="Times New Roman" w:eastAsia="仿宋_GB2312" w:cs="仿宋_GB2312"/>
          <w:sz w:val="32"/>
          <w:szCs w:val="32"/>
          <w:lang w:val="en-US" w:eastAsia="zh-CN"/>
        </w:rPr>
        <w:t>680.01</w:t>
      </w:r>
      <w:r>
        <w:rPr>
          <w:rFonts w:hint="eastAsia" w:ascii="仿宋_GB2312" w:hAnsi="Times New Roman" w:eastAsia="仿宋_GB2312" w:cs="仿宋_GB2312"/>
          <w:sz w:val="32"/>
          <w:szCs w:val="32"/>
        </w:rPr>
        <w:t>万元，占</w:t>
      </w:r>
      <w:r>
        <w:rPr>
          <w:rFonts w:hint="eastAsia" w:ascii="仿宋_GB2312" w:hAnsi="Times New Roman" w:eastAsia="仿宋_GB2312" w:cs="仿宋_GB2312"/>
          <w:sz w:val="32"/>
          <w:szCs w:val="32"/>
          <w:lang w:val="en-US" w:eastAsia="zh-CN"/>
        </w:rPr>
        <w:t>22.94</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图</w:t>
      </w:r>
      <w:r>
        <w:rPr>
          <w:rFonts w:ascii="宋体" w:hAnsi="宋体" w:cs="宋体"/>
          <w:sz w:val="24"/>
          <w:szCs w:val="24"/>
        </w:rPr>
        <w:t>2</w:t>
      </w:r>
      <w:r>
        <w:rPr>
          <w:rFonts w:hint="eastAsia" w:ascii="宋体" w:hAnsi="宋体" w:cs="宋体"/>
          <w:sz w:val="24"/>
          <w:szCs w:val="24"/>
        </w:rPr>
        <w:t>：收入决算</w:t>
      </w:r>
    </w:p>
    <w:p>
      <w:pPr>
        <w:adjustRightInd w:val="0"/>
        <w:snapToGrid w:val="0"/>
        <w:spacing w:line="360" w:lineRule="auto"/>
        <w:ind w:firstLine="31680" w:firstLineChars="200"/>
        <w:rPr>
          <w:rFonts w:ascii="仿宋_GB2312" w:hAnsi="Times New Roman" w:eastAsia="仿宋_GB2312" w:cs="Times New Roman"/>
          <w:sz w:val="32"/>
          <w:szCs w:val="32"/>
        </w:rPr>
      </w:pPr>
    </w:p>
    <w:p>
      <w:pPr>
        <w:adjustRightInd w:val="0"/>
        <w:snapToGrid w:val="0"/>
        <w:spacing w:line="360" w:lineRule="auto"/>
        <w:ind w:firstLine="31680" w:firstLineChars="200"/>
        <w:rPr>
          <w:rFonts w:ascii="仿宋_GB2312" w:hAnsi="Times New Roman" w:eastAsia="仿宋_GB2312" w:cs="Times New Roman"/>
          <w:sz w:val="32"/>
          <w:szCs w:val="32"/>
        </w:rPr>
      </w:pPr>
    </w:p>
    <w:p>
      <w:pPr>
        <w:adjustRightInd w:val="0"/>
        <w:snapToGrid w:val="0"/>
        <w:spacing w:line="360" w:lineRule="auto"/>
        <w:ind w:firstLine="31680" w:firstLineChars="200"/>
        <w:rPr>
          <w:rFonts w:ascii="仿宋_GB2312" w:hAnsi="Times New Roman" w:eastAsia="仿宋_GB2312" w:cs="Times New Roman"/>
          <w:sz w:val="32"/>
          <w:szCs w:val="32"/>
        </w:rPr>
      </w:pPr>
    </w:p>
    <w:p>
      <w:pPr>
        <w:numPr>
          <w:ilvl w:val="0"/>
          <w:numId w:val="4"/>
        </w:numPr>
        <w:adjustRightInd w:val="0"/>
        <w:snapToGrid w:val="0"/>
        <w:spacing w:line="360" w:lineRule="auto"/>
        <w:ind w:firstLine="31680" w:firstLineChars="200"/>
        <w:outlineLvl w:val="1"/>
        <w:rPr>
          <w:rFonts w:ascii="黑体" w:hAnsi="黑体" w:eastAsia="黑体" w:cs="Times New Roman"/>
          <w:sz w:val="32"/>
          <w:szCs w:val="32"/>
        </w:rPr>
      </w:pPr>
      <w:r>
        <w:rPr>
          <w:rFonts w:hint="eastAsia" w:ascii="黑体" w:hAnsi="黑体" w:eastAsia="黑体" w:cs="黑体"/>
          <w:sz w:val="32"/>
          <w:szCs w:val="32"/>
        </w:rPr>
        <w:t>关于支出决算情况说明</w:t>
      </w:r>
    </w:p>
    <w:p>
      <w:pPr>
        <w:adjustRightInd w:val="0"/>
        <w:snapToGrid w:val="0"/>
        <w:spacing w:line="360" w:lineRule="auto"/>
        <w:ind w:firstLine="3168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年度支出合计</w:t>
      </w:r>
      <w:r>
        <w:rPr>
          <w:rFonts w:hint="eastAsia" w:ascii="仿宋_GB2312" w:hAnsi="宋体" w:eastAsia="仿宋_GB2312" w:cs="仿宋_GB2312"/>
          <w:sz w:val="32"/>
          <w:szCs w:val="32"/>
          <w:lang w:val="en-US" w:eastAsia="zh-CN"/>
        </w:rPr>
        <w:t>2873.28</w:t>
      </w:r>
      <w:r>
        <w:rPr>
          <w:rFonts w:hint="eastAsia" w:ascii="仿宋_GB2312" w:hAnsi="宋体" w:eastAsia="仿宋_GB2312" w:cs="仿宋_GB2312"/>
          <w:sz w:val="32"/>
          <w:szCs w:val="32"/>
        </w:rPr>
        <w:t>万元，其中：基本支出</w:t>
      </w:r>
      <w:r>
        <w:rPr>
          <w:rFonts w:hint="eastAsia" w:ascii="仿宋_GB2312" w:hAnsi="宋体" w:eastAsia="仿宋_GB2312" w:cs="仿宋_GB2312"/>
          <w:sz w:val="32"/>
          <w:szCs w:val="32"/>
          <w:lang w:val="en-US" w:eastAsia="zh-CN"/>
        </w:rPr>
        <w:t>2873.28</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图</w:t>
      </w:r>
      <w:r>
        <w:rPr>
          <w:rFonts w:ascii="宋体" w:hAnsi="宋体" w:cs="宋体"/>
          <w:sz w:val="24"/>
          <w:szCs w:val="24"/>
        </w:rPr>
        <w:t>3</w:t>
      </w:r>
      <w:r>
        <w:rPr>
          <w:rFonts w:hint="eastAsia" w:ascii="宋体" w:hAnsi="宋体" w:cs="宋体"/>
          <w:sz w:val="24"/>
          <w:szCs w:val="24"/>
        </w:rPr>
        <w:t>：支出决算</w:t>
      </w:r>
    </w:p>
    <w:p>
      <w:pPr>
        <w:adjustRightInd w:val="0"/>
        <w:snapToGrid w:val="0"/>
        <w:spacing w:line="360" w:lineRule="auto"/>
        <w:ind w:firstLine="31680" w:firstLineChars="200"/>
        <w:rPr>
          <w:rFonts w:ascii="仿宋_GB2312" w:hAnsi="Times New Roman" w:eastAsia="仿宋_GB2312" w:cs="Times New Roman"/>
          <w:sz w:val="32"/>
          <w:szCs w:val="32"/>
        </w:rPr>
      </w:pPr>
    </w:p>
    <w:p>
      <w:pPr>
        <w:adjustRightInd w:val="0"/>
        <w:snapToGrid w:val="0"/>
        <w:spacing w:line="360" w:lineRule="auto"/>
        <w:ind w:firstLine="31680" w:firstLineChars="200"/>
        <w:rPr>
          <w:rFonts w:ascii="仿宋_GB2312" w:hAnsi="Times New Roman" w:eastAsia="仿宋_GB2312" w:cs="Times New Roman"/>
          <w:sz w:val="32"/>
          <w:szCs w:val="32"/>
        </w:rPr>
      </w:pPr>
    </w:p>
    <w:p>
      <w:pPr>
        <w:adjustRightInd w:val="0"/>
        <w:snapToGrid w:val="0"/>
        <w:spacing w:line="360" w:lineRule="auto"/>
        <w:ind w:firstLine="31680" w:firstLineChars="200"/>
        <w:rPr>
          <w:rFonts w:ascii="仿宋_GB2312" w:hAnsi="Times New Roman" w:eastAsia="仿宋_GB2312" w:cs="Times New Roman"/>
          <w:sz w:val="32"/>
          <w:szCs w:val="32"/>
        </w:rPr>
      </w:pPr>
    </w:p>
    <w:p>
      <w:pPr>
        <w:adjustRightInd w:val="0"/>
        <w:snapToGrid w:val="0"/>
        <w:spacing w:line="360" w:lineRule="auto"/>
        <w:ind w:firstLine="31680" w:firstLineChars="200"/>
        <w:rPr>
          <w:rFonts w:ascii="仿宋_GB2312" w:hAnsi="宋体" w:eastAsia="仿宋_GB2312" w:cs="Times New Roman"/>
          <w:sz w:val="32"/>
          <w:szCs w:val="32"/>
        </w:rPr>
      </w:pPr>
    </w:p>
    <w:p>
      <w:pPr>
        <w:numPr>
          <w:ilvl w:val="0"/>
          <w:numId w:val="4"/>
        </w:numPr>
        <w:adjustRightInd w:val="0"/>
        <w:snapToGrid w:val="0"/>
        <w:spacing w:line="360" w:lineRule="auto"/>
        <w:ind w:firstLine="31680" w:firstLineChars="200"/>
        <w:outlineLvl w:val="1"/>
        <w:rPr>
          <w:rFonts w:ascii="黑体" w:hAnsi="黑体" w:eastAsia="黑体" w:cs="Times New Roman"/>
          <w:sz w:val="32"/>
          <w:szCs w:val="32"/>
        </w:rPr>
      </w:pPr>
      <w:r>
        <w:rPr>
          <w:rFonts w:hint="eastAsia" w:ascii="黑体" w:hAnsi="黑体" w:eastAsia="黑体" w:cs="黑体"/>
          <w:sz w:val="32"/>
          <w:szCs w:val="32"/>
        </w:rPr>
        <w:t>关于财政拨款收入支出决算总体情况说明</w:t>
      </w:r>
    </w:p>
    <w:p>
      <w:pPr>
        <w:adjustRightInd w:val="0"/>
        <w:snapToGrid w:val="0"/>
        <w:spacing w:line="360" w:lineRule="auto"/>
        <w:ind w:firstLine="3168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年财政拨款收支总决算</w:t>
      </w:r>
      <w:r>
        <w:rPr>
          <w:rFonts w:hint="eastAsia" w:ascii="仿宋_GB2312" w:hAnsi="宋体" w:eastAsia="仿宋_GB2312" w:cs="仿宋_GB2312"/>
          <w:sz w:val="32"/>
          <w:szCs w:val="32"/>
          <w:lang w:val="en-US" w:eastAsia="zh-CN"/>
        </w:rPr>
        <w:t>2964.05</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2873.28万元</w:t>
      </w:r>
      <w:r>
        <w:rPr>
          <w:rFonts w:hint="eastAsia" w:ascii="仿宋_GB2312" w:hAnsi="宋体" w:eastAsia="仿宋_GB2312" w:cs="仿宋_GB2312"/>
          <w:sz w:val="32"/>
          <w:szCs w:val="32"/>
        </w:rPr>
        <w:t>。与</w:t>
      </w:r>
      <w:r>
        <w:rPr>
          <w:rFonts w:ascii="仿宋_GB2312" w:hAnsi="宋体" w:eastAsia="仿宋_GB2312" w:cs="仿宋_GB2312"/>
          <w:sz w:val="32"/>
          <w:szCs w:val="32"/>
        </w:rPr>
        <w:t>2015</w:t>
      </w:r>
      <w:r>
        <w:rPr>
          <w:rFonts w:hint="eastAsia" w:ascii="仿宋_GB2312" w:hAnsi="宋体" w:eastAsia="仿宋_GB2312" w:cs="仿宋_GB2312"/>
          <w:sz w:val="32"/>
          <w:szCs w:val="32"/>
        </w:rPr>
        <w:t>年相比，财政拨款收、支总计各增加</w:t>
      </w:r>
      <w:r>
        <w:rPr>
          <w:rFonts w:hint="eastAsia" w:ascii="仿宋_GB2312" w:hAnsi="宋体" w:eastAsia="仿宋_GB2312" w:cs="仿宋_GB2312"/>
          <w:sz w:val="32"/>
          <w:szCs w:val="32"/>
          <w:lang w:val="en-US" w:eastAsia="zh-CN"/>
        </w:rPr>
        <w:t>2376.33</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2473.97万元；</w:t>
      </w:r>
      <w:r>
        <w:rPr>
          <w:rFonts w:hint="eastAsia" w:ascii="仿宋_GB2312" w:hAnsi="宋体" w:eastAsia="仿宋_GB2312" w:cs="仿宋_GB2312"/>
          <w:sz w:val="32"/>
          <w:szCs w:val="32"/>
        </w:rPr>
        <w:t>增长</w:t>
      </w:r>
      <w:r>
        <w:rPr>
          <w:rFonts w:hint="eastAsia" w:ascii="仿宋_GB2312" w:hAnsi="宋体" w:eastAsia="仿宋_GB2312" w:cs="仿宋_GB2312"/>
          <w:sz w:val="32"/>
          <w:szCs w:val="32"/>
          <w:lang w:val="en-US" w:eastAsia="zh-CN"/>
        </w:rPr>
        <w:t>404.33</w:t>
      </w:r>
      <w:r>
        <w:rPr>
          <w:rFonts w:ascii="仿宋_GB2312" w:hAnsi="宋体" w:eastAsia="仿宋_GB2312" w:cs="仿宋_GB2312"/>
          <w:sz w:val="32"/>
          <w:szCs w:val="32"/>
        </w:rPr>
        <w:t>%</w:t>
      </w:r>
      <w:r>
        <w:rPr>
          <w:rFonts w:hint="eastAsia" w:ascii="仿宋_GB2312" w:hAnsi="宋体" w:eastAsia="仿宋_GB2312" w:cs="仿宋_GB2312"/>
          <w:sz w:val="32"/>
          <w:szCs w:val="32"/>
          <w:lang w:eastAsia="zh-CN"/>
        </w:rPr>
        <w:t>、</w:t>
      </w:r>
      <w:r>
        <w:rPr>
          <w:rFonts w:hint="eastAsia" w:ascii="仿宋_GB2312" w:hAnsi="宋体" w:eastAsia="仿宋_GB2312" w:cs="仿宋_GB2312"/>
          <w:sz w:val="32"/>
          <w:szCs w:val="32"/>
          <w:lang w:val="en-US" w:eastAsia="zh-CN"/>
        </w:rPr>
        <w:t>619.56%。</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图</w:t>
      </w:r>
      <w:r>
        <w:rPr>
          <w:rFonts w:ascii="宋体" w:hAnsi="宋体" w:cs="宋体"/>
          <w:sz w:val="24"/>
          <w:szCs w:val="24"/>
        </w:rPr>
        <w:t>4</w:t>
      </w:r>
      <w:r>
        <w:rPr>
          <w:rFonts w:hint="eastAsia" w:ascii="宋体" w:hAnsi="宋体" w:cs="宋体"/>
          <w:sz w:val="24"/>
          <w:szCs w:val="24"/>
        </w:rPr>
        <w:t>：财政拨款收、支决算总计变动情况</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（单位：万元）</w:t>
      </w:r>
    </w:p>
    <w:p>
      <w:pPr>
        <w:adjustRightInd w:val="0"/>
        <w:snapToGrid w:val="0"/>
        <w:spacing w:line="360" w:lineRule="auto"/>
        <w:ind w:firstLine="31680" w:firstLineChars="200"/>
        <w:rPr>
          <w:rFonts w:ascii="仿宋_GB2312" w:hAnsi="宋体" w:eastAsia="仿宋_GB2312" w:cs="Times New Roman"/>
          <w:sz w:val="32"/>
          <w:szCs w:val="32"/>
        </w:rPr>
      </w:pPr>
    </w:p>
    <w:p>
      <w:pPr>
        <w:adjustRightInd w:val="0"/>
        <w:snapToGrid w:val="0"/>
        <w:spacing w:line="360" w:lineRule="auto"/>
        <w:ind w:firstLine="31680" w:firstLineChars="200"/>
        <w:rPr>
          <w:rFonts w:ascii="仿宋_GB2312" w:hAnsi="宋体" w:eastAsia="仿宋_GB2312" w:cs="Times New Roman"/>
          <w:sz w:val="32"/>
          <w:szCs w:val="32"/>
        </w:rPr>
      </w:pPr>
    </w:p>
    <w:p>
      <w:pPr>
        <w:adjustRightInd w:val="0"/>
        <w:snapToGrid w:val="0"/>
        <w:spacing w:line="360" w:lineRule="auto"/>
        <w:ind w:firstLine="31680" w:firstLineChars="200"/>
        <w:rPr>
          <w:rFonts w:ascii="仿宋_GB2312" w:hAnsi="宋体" w:eastAsia="仿宋_GB2312" w:cs="Times New Roman"/>
          <w:sz w:val="32"/>
          <w:szCs w:val="32"/>
        </w:rPr>
      </w:pPr>
    </w:p>
    <w:p>
      <w:pPr>
        <w:numPr>
          <w:ilvl w:val="0"/>
          <w:numId w:val="4"/>
        </w:numPr>
        <w:adjustRightInd w:val="0"/>
        <w:snapToGrid w:val="0"/>
        <w:spacing w:line="360" w:lineRule="auto"/>
        <w:ind w:firstLine="3168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关于一般公共预算财政拨款支出决算情况说明</w:t>
      </w:r>
    </w:p>
    <w:p>
      <w:pPr>
        <w:numPr>
          <w:ilvl w:val="0"/>
          <w:numId w:val="5"/>
        </w:numPr>
        <w:adjustRightInd w:val="0"/>
        <w:snapToGrid w:val="0"/>
        <w:spacing w:line="360" w:lineRule="auto"/>
        <w:ind w:firstLine="3168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财政拨款支出决算总体情况。</w:t>
      </w:r>
    </w:p>
    <w:p>
      <w:pPr>
        <w:adjustRightInd w:val="0"/>
        <w:snapToGrid w:val="0"/>
        <w:spacing w:line="360" w:lineRule="auto"/>
        <w:ind w:firstLine="3168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年一般公共预算财政拨款支出</w:t>
      </w:r>
      <w:r>
        <w:rPr>
          <w:rFonts w:hint="eastAsia" w:ascii="仿宋_GB2312" w:hAnsi="宋体" w:eastAsia="仿宋_GB2312" w:cs="仿宋_GB2312"/>
          <w:sz w:val="32"/>
          <w:szCs w:val="32"/>
          <w:lang w:val="en-US" w:eastAsia="zh-CN"/>
        </w:rPr>
        <w:t>2193.27</w:t>
      </w:r>
      <w:r>
        <w:rPr>
          <w:rFonts w:hint="eastAsia" w:ascii="仿宋_GB2312" w:hAnsi="宋体" w:eastAsia="仿宋_GB2312" w:cs="仿宋_GB2312"/>
          <w:sz w:val="32"/>
          <w:szCs w:val="32"/>
        </w:rPr>
        <w:t>万元，占支出合计的</w:t>
      </w:r>
      <w:r>
        <w:rPr>
          <w:rFonts w:hint="eastAsia" w:ascii="仿宋_GB2312" w:hAnsi="宋体" w:eastAsia="仿宋_GB2312" w:cs="仿宋_GB2312"/>
          <w:sz w:val="32"/>
          <w:szCs w:val="32"/>
          <w:lang w:val="en-US" w:eastAsia="zh-CN"/>
        </w:rPr>
        <w:t>76.33</w:t>
      </w:r>
      <w:r>
        <w:rPr>
          <w:rFonts w:ascii="仿宋_GB2312" w:hAnsi="宋体" w:eastAsia="仿宋_GB2312" w:cs="仿宋_GB2312"/>
          <w:sz w:val="32"/>
          <w:szCs w:val="32"/>
        </w:rPr>
        <w:t>%</w:t>
      </w:r>
      <w:r>
        <w:rPr>
          <w:rFonts w:hint="eastAsia" w:ascii="仿宋_GB2312" w:hAnsi="宋体" w:eastAsia="仿宋_GB2312" w:cs="仿宋_GB2312"/>
          <w:sz w:val="32"/>
          <w:szCs w:val="32"/>
        </w:rPr>
        <w:t>。与</w:t>
      </w:r>
      <w:r>
        <w:rPr>
          <w:rFonts w:ascii="仿宋_GB2312" w:hAnsi="宋体" w:eastAsia="仿宋_GB2312" w:cs="仿宋_GB2312"/>
          <w:sz w:val="32"/>
          <w:szCs w:val="32"/>
        </w:rPr>
        <w:t>2015</w:t>
      </w:r>
      <w:r>
        <w:rPr>
          <w:rFonts w:hint="eastAsia" w:ascii="仿宋_GB2312" w:hAnsi="宋体" w:eastAsia="仿宋_GB2312" w:cs="仿宋_GB2312"/>
          <w:sz w:val="32"/>
          <w:szCs w:val="32"/>
        </w:rPr>
        <w:t>年相比，一般公共预算财政拨款支出增加</w:t>
      </w:r>
      <w:r>
        <w:rPr>
          <w:rFonts w:hint="eastAsia" w:ascii="仿宋_GB2312" w:hAnsi="宋体" w:eastAsia="仿宋_GB2312" w:cs="仿宋_GB2312"/>
          <w:sz w:val="32"/>
          <w:szCs w:val="32"/>
          <w:lang w:val="en-US" w:eastAsia="zh-CN"/>
        </w:rPr>
        <w:t>1793.96</w:t>
      </w:r>
      <w:r>
        <w:rPr>
          <w:rFonts w:hint="eastAsia" w:ascii="仿宋_GB2312" w:hAnsi="宋体" w:eastAsia="仿宋_GB2312" w:cs="仿宋_GB2312"/>
          <w:sz w:val="32"/>
          <w:szCs w:val="32"/>
        </w:rPr>
        <w:t>万元，增长</w:t>
      </w:r>
      <w:r>
        <w:rPr>
          <w:rFonts w:hint="eastAsia" w:ascii="仿宋_GB2312" w:hAnsi="宋体" w:eastAsia="仿宋_GB2312" w:cs="仿宋_GB2312"/>
          <w:sz w:val="32"/>
          <w:szCs w:val="32"/>
          <w:lang w:val="en-US" w:eastAsia="zh-CN"/>
        </w:rPr>
        <w:t>449.26</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图</w:t>
      </w:r>
      <w:r>
        <w:rPr>
          <w:rFonts w:ascii="宋体" w:hAnsi="宋体" w:cs="宋体"/>
          <w:sz w:val="24"/>
          <w:szCs w:val="24"/>
        </w:rPr>
        <w:t>5</w:t>
      </w:r>
      <w:r>
        <w:rPr>
          <w:rFonts w:hint="eastAsia" w:ascii="宋体" w:hAnsi="宋体" w:cs="宋体"/>
          <w:sz w:val="24"/>
          <w:szCs w:val="24"/>
        </w:rPr>
        <w:t>：财政拨款支出决算变动情况</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（单位：万元）</w:t>
      </w:r>
    </w:p>
    <w:p>
      <w:pPr>
        <w:adjustRightInd w:val="0"/>
        <w:snapToGrid w:val="0"/>
        <w:spacing w:line="360" w:lineRule="auto"/>
        <w:ind w:firstLine="31680" w:firstLineChars="200"/>
        <w:rPr>
          <w:rFonts w:ascii="仿宋_GB2312" w:hAnsi="宋体" w:eastAsia="仿宋_GB2312" w:cs="Times New Roman"/>
          <w:sz w:val="32"/>
          <w:szCs w:val="32"/>
        </w:rPr>
      </w:pPr>
    </w:p>
    <w:p>
      <w:pPr>
        <w:adjustRightInd w:val="0"/>
        <w:snapToGrid w:val="0"/>
        <w:spacing w:line="360" w:lineRule="auto"/>
        <w:ind w:firstLine="31680" w:firstLineChars="200"/>
        <w:rPr>
          <w:rFonts w:ascii="仿宋_GB2312" w:hAnsi="宋体" w:eastAsia="仿宋_GB2312" w:cs="Times New Roman"/>
          <w:sz w:val="32"/>
          <w:szCs w:val="32"/>
        </w:rPr>
      </w:pPr>
    </w:p>
    <w:p>
      <w:pPr>
        <w:adjustRightInd w:val="0"/>
        <w:snapToGrid w:val="0"/>
        <w:spacing w:line="360" w:lineRule="auto"/>
        <w:ind w:firstLine="31680" w:firstLineChars="200"/>
        <w:rPr>
          <w:rFonts w:ascii="仿宋_GB2312" w:hAnsi="宋体" w:eastAsia="仿宋_GB2312" w:cs="Times New Roman"/>
          <w:sz w:val="32"/>
          <w:szCs w:val="32"/>
        </w:rPr>
      </w:pPr>
      <w:bookmarkStart w:id="0" w:name="_GoBack"/>
      <w:bookmarkEnd w:id="0"/>
    </w:p>
    <w:p>
      <w:pPr>
        <w:adjustRightInd w:val="0"/>
        <w:snapToGrid w:val="0"/>
        <w:spacing w:line="360" w:lineRule="auto"/>
        <w:ind w:firstLine="31680" w:firstLineChars="200"/>
        <w:rPr>
          <w:rFonts w:ascii="仿宋_GB2312" w:hAnsi="宋体" w:eastAsia="仿宋_GB2312" w:cs="Times New Roman"/>
          <w:sz w:val="32"/>
          <w:szCs w:val="32"/>
        </w:rPr>
      </w:pPr>
    </w:p>
    <w:p>
      <w:pPr>
        <w:numPr>
          <w:ilvl w:val="0"/>
          <w:numId w:val="5"/>
        </w:numPr>
        <w:adjustRightInd w:val="0"/>
        <w:snapToGrid w:val="0"/>
        <w:spacing w:line="360" w:lineRule="auto"/>
        <w:ind w:firstLine="3168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财政拨款支出决算结构情况。</w:t>
      </w:r>
    </w:p>
    <w:p>
      <w:pPr>
        <w:adjustRightInd w:val="0"/>
        <w:snapToGrid w:val="0"/>
        <w:spacing w:line="360" w:lineRule="auto"/>
        <w:ind w:firstLine="3168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年度一般公共预算财政拨款支出</w:t>
      </w:r>
      <w:r>
        <w:rPr>
          <w:rFonts w:hint="eastAsia" w:ascii="仿宋_GB2312" w:hAnsi="宋体" w:eastAsia="仿宋_GB2312" w:cs="仿宋_GB2312"/>
          <w:sz w:val="32"/>
          <w:szCs w:val="32"/>
          <w:lang w:val="en-US" w:eastAsia="zh-CN"/>
        </w:rPr>
        <w:t>2193.27</w:t>
      </w:r>
      <w:r>
        <w:rPr>
          <w:rFonts w:hint="eastAsia" w:ascii="仿宋_GB2312" w:hAnsi="宋体" w:eastAsia="仿宋_GB2312" w:cs="仿宋_GB2312"/>
          <w:sz w:val="32"/>
          <w:szCs w:val="32"/>
        </w:rPr>
        <w:t>万元，主要用于以下方面：</w:t>
      </w:r>
      <w:r>
        <w:rPr>
          <w:rFonts w:hint="eastAsia" w:ascii="仿宋_GB2312" w:hAnsi="宋体" w:eastAsia="仿宋_GB2312" w:cs="仿宋_GB2312"/>
          <w:b/>
          <w:bCs/>
          <w:sz w:val="32"/>
          <w:szCs w:val="32"/>
        </w:rPr>
        <w:t>一般公共服务（类）</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2</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0.08</w:t>
      </w:r>
      <w:r>
        <w:rPr>
          <w:rFonts w:ascii="仿宋_GB2312" w:hAnsi="宋体" w:eastAsia="仿宋_GB2312" w:cs="仿宋_GB2312"/>
          <w:sz w:val="32"/>
          <w:szCs w:val="32"/>
        </w:rPr>
        <w:t>%</w:t>
      </w:r>
      <w:r>
        <w:rPr>
          <w:rFonts w:hint="eastAsia" w:ascii="仿宋_GB2312" w:hAnsi="宋体" w:eastAsia="仿宋_GB2312" w:cs="仿宋_GB2312"/>
          <w:sz w:val="32"/>
          <w:szCs w:val="32"/>
        </w:rPr>
        <w:t>；</w:t>
      </w:r>
      <w:r>
        <w:rPr>
          <w:rFonts w:hint="eastAsia" w:ascii="仿宋_GB2312" w:hAnsi="宋体" w:eastAsia="仿宋_GB2312" w:cs="仿宋_GB2312"/>
          <w:b/>
          <w:bCs/>
          <w:sz w:val="32"/>
          <w:szCs w:val="32"/>
          <w:lang w:eastAsia="zh-CN"/>
        </w:rPr>
        <w:t>城乡社区管理实务（类）</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2191.27</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99.92</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图</w:t>
      </w:r>
      <w:r>
        <w:rPr>
          <w:rFonts w:ascii="宋体" w:hAnsi="宋体" w:cs="宋体"/>
          <w:sz w:val="24"/>
          <w:szCs w:val="24"/>
        </w:rPr>
        <w:t>6</w:t>
      </w:r>
      <w:r>
        <w:rPr>
          <w:rFonts w:hint="eastAsia" w:ascii="宋体" w:hAnsi="宋体" w:cs="宋体"/>
          <w:sz w:val="24"/>
          <w:szCs w:val="24"/>
        </w:rPr>
        <w:t>：财政拨款支出决算结构</w:t>
      </w:r>
    </w:p>
    <w:p>
      <w:pPr>
        <w:adjustRightInd w:val="0"/>
        <w:snapToGrid w:val="0"/>
        <w:spacing w:line="360" w:lineRule="auto"/>
        <w:ind w:firstLine="31680" w:firstLineChars="200"/>
        <w:rPr>
          <w:rFonts w:ascii="仿宋_GB2312" w:hAnsi="宋体" w:eastAsia="仿宋_GB2312" w:cs="Times New Roman"/>
          <w:sz w:val="32"/>
          <w:szCs w:val="32"/>
        </w:rPr>
      </w:pPr>
    </w:p>
    <w:p>
      <w:pPr>
        <w:adjustRightInd w:val="0"/>
        <w:snapToGrid w:val="0"/>
        <w:spacing w:line="360" w:lineRule="auto"/>
        <w:ind w:firstLine="31680" w:firstLineChars="200"/>
        <w:rPr>
          <w:rFonts w:ascii="仿宋_GB2312" w:hAnsi="宋体" w:eastAsia="仿宋_GB2312" w:cs="Times New Roman"/>
          <w:sz w:val="32"/>
          <w:szCs w:val="32"/>
        </w:rPr>
      </w:pPr>
    </w:p>
    <w:p>
      <w:pPr>
        <w:adjustRightInd w:val="0"/>
        <w:snapToGrid w:val="0"/>
        <w:spacing w:line="360" w:lineRule="auto"/>
        <w:ind w:firstLine="31680" w:firstLineChars="200"/>
        <w:rPr>
          <w:rFonts w:ascii="仿宋_GB2312" w:hAnsi="宋体" w:eastAsia="仿宋_GB2312" w:cs="Times New Roman"/>
          <w:sz w:val="32"/>
          <w:szCs w:val="32"/>
        </w:rPr>
      </w:pPr>
    </w:p>
    <w:p>
      <w:pPr>
        <w:numPr>
          <w:ilvl w:val="0"/>
          <w:numId w:val="5"/>
        </w:numPr>
        <w:adjustRightInd w:val="0"/>
        <w:snapToGrid w:val="0"/>
        <w:spacing w:line="360" w:lineRule="auto"/>
        <w:ind w:firstLine="3168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财政拨款支出决算具体情况。</w:t>
      </w:r>
    </w:p>
    <w:p>
      <w:pPr>
        <w:adjustRightInd w:val="0"/>
        <w:snapToGrid w:val="0"/>
        <w:spacing w:line="360" w:lineRule="auto"/>
        <w:ind w:firstLine="3168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年度一般公共预算财政拨款支出年初预算为</w:t>
      </w:r>
      <w:r>
        <w:rPr>
          <w:rFonts w:hint="eastAsia" w:ascii="仿宋_GB2312" w:hAnsi="宋体" w:eastAsia="仿宋_GB2312" w:cs="仿宋_GB2312"/>
          <w:sz w:val="32"/>
          <w:szCs w:val="32"/>
          <w:lang w:val="en-US" w:eastAsia="zh-CN"/>
        </w:rPr>
        <w:t>2193.27</w:t>
      </w:r>
      <w:r>
        <w:rPr>
          <w:rFonts w:hint="eastAsia" w:ascii="仿宋_GB2312" w:hAnsi="宋体" w:eastAsia="仿宋_GB2312" w:cs="仿宋_GB2312"/>
          <w:sz w:val="32"/>
          <w:szCs w:val="32"/>
        </w:rPr>
        <w:t>万元，支出决算为</w:t>
      </w:r>
      <w:r>
        <w:rPr>
          <w:rFonts w:hint="eastAsia" w:ascii="仿宋_GB2312" w:hAnsi="宋体" w:eastAsia="仿宋_GB2312" w:cs="仿宋_GB2312"/>
          <w:sz w:val="32"/>
          <w:szCs w:val="32"/>
          <w:lang w:val="en-US" w:eastAsia="zh-CN"/>
        </w:rPr>
        <w:t>2193.27</w:t>
      </w:r>
      <w:r>
        <w:rPr>
          <w:rFonts w:hint="eastAsia" w:ascii="仿宋_GB2312" w:hAnsi="宋体" w:eastAsia="仿宋_GB2312" w:cs="仿宋_GB2312"/>
          <w:sz w:val="32"/>
          <w:szCs w:val="32"/>
        </w:rPr>
        <w:t>万元，完成年初预算的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numPr>
          <w:numId w:val="0"/>
        </w:numPr>
        <w:adjustRightInd w:val="0"/>
        <w:snapToGrid w:val="0"/>
        <w:spacing w:line="360" w:lineRule="auto"/>
        <w:outlineLvl w:val="1"/>
        <w:rPr>
          <w:rFonts w:ascii="黑体" w:hAnsi="黑体" w:eastAsia="黑体" w:cs="Times New Roman"/>
          <w:sz w:val="32"/>
          <w:szCs w:val="32"/>
        </w:rPr>
      </w:pPr>
    </w:p>
    <w:p>
      <w:pPr>
        <w:numPr>
          <w:ilvl w:val="0"/>
          <w:numId w:val="4"/>
        </w:numPr>
        <w:adjustRightInd w:val="0"/>
        <w:snapToGrid w:val="0"/>
        <w:spacing w:line="360" w:lineRule="auto"/>
        <w:ind w:firstLine="3168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关于一般公共预算财政拨款基本支出决算情况说明</w:t>
      </w:r>
    </w:p>
    <w:p>
      <w:pPr>
        <w:adjustRightInd w:val="0"/>
        <w:snapToGrid w:val="0"/>
        <w:spacing w:line="360" w:lineRule="auto"/>
        <w:ind w:firstLine="3168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年一般公共预算财政拨款基本支出</w:t>
      </w:r>
      <w:r>
        <w:rPr>
          <w:rFonts w:hint="eastAsia" w:ascii="仿宋_GB2312" w:hAnsi="宋体" w:eastAsia="仿宋_GB2312" w:cs="仿宋_GB2312"/>
          <w:sz w:val="32"/>
          <w:szCs w:val="32"/>
          <w:lang w:val="en-US" w:eastAsia="zh-CN"/>
        </w:rPr>
        <w:t>2193.27</w:t>
      </w:r>
      <w:r>
        <w:rPr>
          <w:rFonts w:hint="eastAsia" w:ascii="仿宋_GB2312" w:hAnsi="宋体" w:eastAsia="仿宋_GB2312" w:cs="仿宋_GB2312"/>
          <w:sz w:val="32"/>
          <w:szCs w:val="32"/>
        </w:rPr>
        <w:t>万元，其中：</w:t>
      </w:r>
      <w:r>
        <w:rPr>
          <w:rFonts w:hint="eastAsia" w:ascii="仿宋_GB2312" w:hAnsi="Times New Roman" w:eastAsia="仿宋_GB2312" w:cs="仿宋_GB2312"/>
          <w:spacing w:val="-1"/>
          <w:kern w:val="0"/>
          <w:sz w:val="32"/>
          <w:szCs w:val="32"/>
        </w:rPr>
        <w:t>人员经费</w:t>
      </w:r>
      <w:r>
        <w:rPr>
          <w:rFonts w:hint="eastAsia" w:ascii="仿宋_GB2312" w:hAnsi="Times New Roman" w:eastAsia="仿宋_GB2312" w:cs="仿宋_GB2312"/>
          <w:spacing w:val="-1"/>
          <w:kern w:val="0"/>
          <w:sz w:val="32"/>
          <w:szCs w:val="32"/>
          <w:lang w:val="en-US" w:eastAsia="zh-CN"/>
        </w:rPr>
        <w:t>319.14</w:t>
      </w:r>
      <w:r>
        <w:rPr>
          <w:rFonts w:hint="eastAsia" w:ascii="仿宋_GB2312" w:hAnsi="Times New Roman" w:eastAsia="仿宋_GB2312" w:cs="仿宋_GB2312"/>
          <w:spacing w:val="-1"/>
          <w:kern w:val="0"/>
          <w:sz w:val="32"/>
          <w:szCs w:val="32"/>
        </w:rPr>
        <w:t>万元</w:t>
      </w:r>
      <w:r>
        <w:rPr>
          <w:rFonts w:hint="eastAsia" w:ascii="仿宋_GB2312" w:hAnsi="宋体" w:eastAsia="仿宋_GB2312" w:cs="仿宋_GB2312"/>
          <w:sz w:val="32"/>
          <w:szCs w:val="32"/>
        </w:rPr>
        <w:t>，主要包括：基本工资、津贴补贴、</w:t>
      </w:r>
      <w:r>
        <w:rPr>
          <w:rFonts w:hint="eastAsia" w:ascii="仿宋_GB2312" w:hAnsi="宋体" w:eastAsia="仿宋_GB2312" w:cs="仿宋_GB2312"/>
          <w:sz w:val="32"/>
          <w:szCs w:val="32"/>
          <w:lang w:eastAsia="zh-CN"/>
        </w:rPr>
        <w:t>奖金、</w:t>
      </w:r>
      <w:r>
        <w:rPr>
          <w:rFonts w:hint="eastAsia" w:ascii="仿宋_GB2312" w:hAnsi="宋体" w:eastAsia="仿宋_GB2312" w:cs="仿宋_GB2312"/>
          <w:sz w:val="32"/>
          <w:szCs w:val="32"/>
        </w:rPr>
        <w:t>伙食补助费、绩效工资</w:t>
      </w:r>
      <w:r>
        <w:rPr>
          <w:rFonts w:hint="eastAsia" w:ascii="仿宋_GB2312" w:hAnsi="宋体" w:eastAsia="仿宋_GB2312" w:cs="仿宋_GB2312"/>
          <w:sz w:val="32"/>
          <w:szCs w:val="32"/>
          <w:lang w:eastAsia="zh-CN"/>
        </w:rPr>
        <w:t>、养老保险、其他社会保障缴费、退休费、生活补助、奖励金、住房公积金</w:t>
      </w:r>
      <w:r>
        <w:rPr>
          <w:rFonts w:hint="eastAsia" w:ascii="仿宋_GB2312" w:hAnsi="宋体" w:eastAsia="仿宋_GB2312" w:cs="仿宋_GB2312"/>
          <w:sz w:val="32"/>
          <w:szCs w:val="32"/>
        </w:rPr>
        <w:t>；</w:t>
      </w:r>
      <w:r>
        <w:rPr>
          <w:rFonts w:hint="eastAsia" w:ascii="仿宋_GB2312" w:hAnsi="Times New Roman" w:eastAsia="仿宋_GB2312" w:cs="仿宋_GB2312"/>
          <w:b/>
          <w:bCs/>
          <w:spacing w:val="-1"/>
          <w:kern w:val="0"/>
          <w:sz w:val="32"/>
          <w:szCs w:val="32"/>
        </w:rPr>
        <w:t>公用经费</w:t>
      </w:r>
      <w:r>
        <w:rPr>
          <w:rFonts w:hint="eastAsia" w:ascii="仿宋_GB2312" w:hAnsi="Times New Roman" w:eastAsia="仿宋_GB2312" w:cs="仿宋_GB2312"/>
          <w:b/>
          <w:bCs/>
          <w:spacing w:val="-1"/>
          <w:kern w:val="0"/>
          <w:sz w:val="32"/>
          <w:szCs w:val="32"/>
          <w:lang w:val="en-US" w:eastAsia="zh-CN"/>
        </w:rPr>
        <w:t>1874.13</w:t>
      </w:r>
      <w:r>
        <w:rPr>
          <w:rFonts w:hint="eastAsia" w:ascii="仿宋_GB2312" w:hAnsi="Times New Roman" w:eastAsia="仿宋_GB2312" w:cs="仿宋_GB2312"/>
          <w:spacing w:val="-2"/>
          <w:kern w:val="0"/>
          <w:sz w:val="32"/>
          <w:szCs w:val="32"/>
        </w:rPr>
        <w:t>万元</w:t>
      </w:r>
      <w:r>
        <w:rPr>
          <w:rFonts w:hint="eastAsia" w:ascii="仿宋_GB2312" w:hAnsi="宋体" w:eastAsia="仿宋_GB2312" w:cs="仿宋_GB2312"/>
          <w:sz w:val="32"/>
          <w:szCs w:val="32"/>
        </w:rPr>
        <w:t>，主要包括：办公费</w:t>
      </w:r>
      <w:r>
        <w:rPr>
          <w:rFonts w:hint="eastAsia" w:ascii="仿宋_GB2312" w:hAnsi="宋体" w:eastAsia="仿宋_GB2312" w:cs="仿宋_GB2312"/>
          <w:sz w:val="32"/>
          <w:szCs w:val="32"/>
          <w:lang w:eastAsia="zh-CN"/>
        </w:rPr>
        <w:t>、印刷费、水费、邮电费、取暖费、差旅费、租赁费、培训费、公务接待费、被装购置费、劳务费、委托业务费、工会经费、福利费、公务用车运行维护费、其他商品和服务支出、办公设备购置费、专用设备购置费、企业政策性补贴、事业单位补贴</w:t>
      </w:r>
      <w:r>
        <w:rPr>
          <w:rFonts w:hint="eastAsia" w:ascii="仿宋_GB2312" w:hAnsi="宋体" w:eastAsia="仿宋_GB2312" w:cs="仿宋_GB2312"/>
          <w:sz w:val="32"/>
          <w:szCs w:val="32"/>
        </w:rPr>
        <w:t>。</w:t>
      </w:r>
    </w:p>
    <w:p>
      <w:pPr>
        <w:numPr>
          <w:ilvl w:val="0"/>
          <w:numId w:val="4"/>
        </w:numPr>
        <w:adjustRightInd w:val="0"/>
        <w:snapToGrid w:val="0"/>
        <w:spacing w:line="360" w:lineRule="auto"/>
        <w:ind w:firstLine="31680" w:firstLineChars="200"/>
        <w:outlineLvl w:val="1"/>
        <w:rPr>
          <w:rFonts w:ascii="黑体" w:hAnsi="黑体" w:eastAsia="黑体" w:cs="Times New Roman"/>
          <w:sz w:val="32"/>
          <w:szCs w:val="32"/>
        </w:rPr>
      </w:pPr>
      <w:r>
        <w:rPr>
          <w:rFonts w:hint="eastAsia" w:ascii="黑体" w:hAnsi="黑体" w:eastAsia="黑体" w:cs="黑体"/>
          <w:sz w:val="32"/>
          <w:szCs w:val="32"/>
        </w:rPr>
        <w:t>关于一般公共预算财政拨款“三公”经费支出决算情况说明</w:t>
      </w:r>
    </w:p>
    <w:p>
      <w:pPr>
        <w:numPr>
          <w:ilvl w:val="0"/>
          <w:numId w:val="6"/>
        </w:numPr>
        <w:kinsoku w:val="0"/>
        <w:overflowPunct w:val="0"/>
        <w:autoSpaceDE w:val="0"/>
        <w:autoSpaceDN w:val="0"/>
        <w:adjustRightInd w:val="0"/>
        <w:snapToGrid w:val="0"/>
        <w:spacing w:line="360" w:lineRule="auto"/>
        <w:ind w:firstLine="3168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“三公”经费财政拨款支出决算总体情况说明。</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年度“三公”经费财政拨款支出预算为</w:t>
      </w:r>
      <w:r>
        <w:rPr>
          <w:rFonts w:hint="eastAsia" w:ascii="仿宋_GB2312" w:hAnsi="宋体" w:eastAsia="仿宋_GB2312" w:cs="仿宋_GB2312"/>
          <w:sz w:val="32"/>
          <w:szCs w:val="32"/>
          <w:lang w:val="en-US" w:eastAsia="zh-CN"/>
        </w:rPr>
        <w:t>6.39</w:t>
      </w:r>
      <w:r>
        <w:rPr>
          <w:rFonts w:hint="eastAsia" w:ascii="仿宋_GB2312" w:hAnsi="宋体" w:eastAsia="仿宋_GB2312" w:cs="仿宋_GB2312"/>
          <w:sz w:val="32"/>
          <w:szCs w:val="32"/>
        </w:rPr>
        <w:t>万元，支出决算为</w:t>
      </w:r>
      <w:r>
        <w:rPr>
          <w:rFonts w:hint="eastAsia" w:ascii="仿宋_GB2312" w:hAnsi="宋体" w:eastAsia="仿宋_GB2312" w:cs="仿宋_GB2312"/>
          <w:sz w:val="32"/>
          <w:szCs w:val="32"/>
          <w:lang w:val="en-US" w:eastAsia="zh-CN"/>
        </w:rPr>
        <w:t>6.39</w:t>
      </w:r>
      <w:r>
        <w:rPr>
          <w:rFonts w:hint="eastAsia" w:ascii="仿宋_GB2312" w:hAnsi="宋体" w:eastAsia="仿宋_GB2312" w:cs="仿宋_GB2312"/>
          <w:sz w:val="32"/>
          <w:szCs w:val="32"/>
        </w:rPr>
        <w:t>万元，完成预算的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，其中：公务用车购置及运行费支出决算为</w:t>
      </w:r>
      <w:r>
        <w:rPr>
          <w:rFonts w:hint="eastAsia" w:ascii="仿宋_GB2312" w:hAnsi="宋体" w:eastAsia="仿宋_GB2312" w:cs="仿宋_GB2312"/>
          <w:sz w:val="32"/>
          <w:szCs w:val="32"/>
          <w:lang w:val="en-US" w:eastAsia="zh-CN"/>
        </w:rPr>
        <w:t>5.01</w:t>
      </w:r>
      <w:r>
        <w:rPr>
          <w:rFonts w:hint="eastAsia" w:ascii="仿宋_GB2312" w:hAnsi="宋体" w:eastAsia="仿宋_GB2312" w:cs="仿宋_GB2312"/>
          <w:sz w:val="32"/>
          <w:szCs w:val="32"/>
        </w:rPr>
        <w:t>万元，完成预算的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；公务接待费支出决算为</w:t>
      </w:r>
      <w:r>
        <w:rPr>
          <w:rFonts w:hint="eastAsia" w:ascii="仿宋_GB2312" w:hAnsi="宋体" w:eastAsia="仿宋_GB2312" w:cs="仿宋_GB2312"/>
          <w:sz w:val="32"/>
          <w:szCs w:val="32"/>
          <w:lang w:val="en-US" w:eastAsia="zh-CN"/>
        </w:rPr>
        <w:t>1.38</w:t>
      </w:r>
      <w:r>
        <w:rPr>
          <w:rFonts w:hint="eastAsia" w:ascii="仿宋_GB2312" w:hAnsi="宋体" w:eastAsia="仿宋_GB2312" w:cs="仿宋_GB2312"/>
          <w:sz w:val="32"/>
          <w:szCs w:val="32"/>
        </w:rPr>
        <w:t>万元，完成预算的</w:t>
      </w:r>
      <w:r>
        <w:rPr>
          <w:rFonts w:hint="eastAsia" w:ascii="仿宋_GB2312" w:hAnsi="宋体" w:eastAsia="仿宋_GB2312" w:cs="仿宋_GB2312"/>
          <w:sz w:val="32"/>
          <w:szCs w:val="32"/>
          <w:lang w:val="en-US" w:eastAsia="zh-CN"/>
        </w:rPr>
        <w:t>100</w:t>
      </w:r>
      <w:r>
        <w:rPr>
          <w:rFonts w:ascii="仿宋_GB2312" w:hAnsi="宋体" w:eastAsia="仿宋_GB2312" w:cs="仿宋_GB2312"/>
          <w:sz w:val="32"/>
          <w:szCs w:val="32"/>
        </w:rPr>
        <w:t>%</w:t>
      </w:r>
      <w:r>
        <w:rPr>
          <w:rFonts w:hint="eastAsia" w:ascii="仿宋_GB2312" w:hAnsi="宋体" w:eastAsia="仿宋_GB2312" w:cs="仿宋_GB2312"/>
          <w:sz w:val="32"/>
          <w:szCs w:val="32"/>
        </w:rPr>
        <w:t>。</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年度“三公”经费财政拨款支出决算数比</w:t>
      </w:r>
      <w:r>
        <w:rPr>
          <w:rFonts w:ascii="仿宋_GB2312" w:hAnsi="宋体" w:eastAsia="仿宋_GB2312" w:cs="仿宋_GB2312"/>
          <w:sz w:val="32"/>
          <w:szCs w:val="32"/>
        </w:rPr>
        <w:t>2015</w:t>
      </w:r>
      <w:r>
        <w:rPr>
          <w:rFonts w:hint="eastAsia" w:ascii="仿宋_GB2312" w:hAnsi="宋体" w:eastAsia="仿宋_GB2312" w:cs="仿宋_GB2312"/>
          <w:sz w:val="32"/>
          <w:szCs w:val="32"/>
        </w:rPr>
        <w:t>年减少</w:t>
      </w:r>
      <w:r>
        <w:rPr>
          <w:rFonts w:hint="eastAsia" w:ascii="仿宋_GB2312" w:hAnsi="宋体" w:eastAsia="仿宋_GB2312" w:cs="仿宋_GB2312"/>
          <w:sz w:val="32"/>
          <w:szCs w:val="32"/>
          <w:lang w:val="en-US" w:eastAsia="zh-CN"/>
        </w:rPr>
        <w:t>8.29</w:t>
      </w:r>
      <w:r>
        <w:rPr>
          <w:rFonts w:hint="eastAsia" w:ascii="仿宋_GB2312" w:hAnsi="宋体" w:eastAsia="仿宋_GB2312" w:cs="仿宋_GB2312"/>
          <w:sz w:val="32"/>
          <w:szCs w:val="32"/>
        </w:rPr>
        <w:t>万元，下降</w:t>
      </w:r>
      <w:r>
        <w:rPr>
          <w:rFonts w:hint="eastAsia" w:ascii="仿宋_GB2312" w:hAnsi="宋体" w:eastAsia="仿宋_GB2312" w:cs="仿宋_GB2312"/>
          <w:sz w:val="32"/>
          <w:szCs w:val="32"/>
          <w:lang w:val="en-US" w:eastAsia="zh-CN"/>
        </w:rPr>
        <w:t>56.48</w:t>
      </w:r>
      <w:r>
        <w:rPr>
          <w:rFonts w:ascii="仿宋_GB2312" w:hAnsi="宋体" w:eastAsia="仿宋_GB2312" w:cs="仿宋_GB2312"/>
          <w:sz w:val="32"/>
          <w:szCs w:val="32"/>
        </w:rPr>
        <w:t>%</w:t>
      </w:r>
      <w:r>
        <w:rPr>
          <w:rFonts w:hint="eastAsia" w:ascii="仿宋_GB2312" w:hAnsi="宋体" w:eastAsia="仿宋_GB2312" w:cs="仿宋_GB2312"/>
          <w:sz w:val="32"/>
          <w:szCs w:val="32"/>
        </w:rPr>
        <w:t>，其中：公务用车购置及运行费支出决算减少</w:t>
      </w:r>
      <w:r>
        <w:rPr>
          <w:rFonts w:hint="eastAsia" w:ascii="仿宋_GB2312" w:hAnsi="宋体" w:eastAsia="仿宋_GB2312" w:cs="仿宋_GB2312"/>
          <w:sz w:val="32"/>
          <w:szCs w:val="32"/>
          <w:lang w:val="en-US" w:eastAsia="zh-CN"/>
        </w:rPr>
        <w:t>6.51</w:t>
      </w:r>
      <w:r>
        <w:rPr>
          <w:rFonts w:hint="eastAsia" w:ascii="仿宋_GB2312" w:hAnsi="宋体" w:eastAsia="仿宋_GB2312" w:cs="仿宋_GB2312"/>
          <w:sz w:val="32"/>
          <w:szCs w:val="32"/>
        </w:rPr>
        <w:t>万元，下降</w:t>
      </w:r>
      <w:r>
        <w:rPr>
          <w:rFonts w:hint="eastAsia" w:ascii="仿宋_GB2312" w:hAnsi="宋体" w:eastAsia="仿宋_GB2312" w:cs="仿宋_GB2312"/>
          <w:sz w:val="32"/>
          <w:szCs w:val="32"/>
          <w:lang w:val="en-US" w:eastAsia="zh-CN"/>
        </w:rPr>
        <w:t>56.48</w:t>
      </w:r>
      <w:r>
        <w:rPr>
          <w:rFonts w:ascii="仿宋_GB2312" w:hAnsi="宋体" w:eastAsia="仿宋_GB2312" w:cs="仿宋_GB2312"/>
          <w:sz w:val="32"/>
          <w:szCs w:val="32"/>
        </w:rPr>
        <w:t>%</w:t>
      </w:r>
      <w:r>
        <w:rPr>
          <w:rFonts w:hint="eastAsia" w:ascii="仿宋_GB2312" w:hAnsi="宋体" w:eastAsia="仿宋_GB2312" w:cs="仿宋_GB2312"/>
          <w:sz w:val="32"/>
          <w:szCs w:val="32"/>
        </w:rPr>
        <w:t>；公务接待费支出决算减少</w:t>
      </w:r>
      <w:r>
        <w:rPr>
          <w:rFonts w:hint="eastAsia" w:ascii="仿宋_GB2312" w:hAnsi="宋体" w:eastAsia="仿宋_GB2312" w:cs="仿宋_GB2312"/>
          <w:sz w:val="32"/>
          <w:szCs w:val="32"/>
          <w:lang w:val="en-US" w:eastAsia="zh-CN"/>
        </w:rPr>
        <w:t>1.78</w:t>
      </w:r>
      <w:r>
        <w:rPr>
          <w:rFonts w:hint="eastAsia" w:ascii="仿宋_GB2312" w:hAnsi="宋体" w:eastAsia="仿宋_GB2312" w:cs="仿宋_GB2312"/>
          <w:sz w:val="32"/>
          <w:szCs w:val="32"/>
        </w:rPr>
        <w:t>万元，下降</w:t>
      </w:r>
      <w:r>
        <w:rPr>
          <w:rFonts w:hint="eastAsia" w:ascii="仿宋_GB2312" w:hAnsi="宋体" w:eastAsia="仿宋_GB2312" w:cs="仿宋_GB2312"/>
          <w:sz w:val="32"/>
          <w:szCs w:val="32"/>
          <w:lang w:val="en-US" w:eastAsia="zh-CN"/>
        </w:rPr>
        <w:t>56.45</w:t>
      </w:r>
      <w:r>
        <w:rPr>
          <w:rFonts w:ascii="仿宋_GB2312" w:hAnsi="宋体" w:eastAsia="仿宋_GB2312" w:cs="仿宋_GB2312"/>
          <w:sz w:val="32"/>
          <w:szCs w:val="32"/>
        </w:rPr>
        <w:t>%</w:t>
      </w:r>
      <w:r>
        <w:rPr>
          <w:rFonts w:hint="eastAsia" w:ascii="仿宋_GB2312" w:hAnsi="宋体" w:eastAsia="仿宋_GB2312" w:cs="仿宋_GB2312"/>
          <w:sz w:val="32"/>
          <w:szCs w:val="32"/>
        </w:rPr>
        <w:t>。公务用车购置及运行费支出减少的主要原因是</w:t>
      </w:r>
      <w:r>
        <w:rPr>
          <w:rFonts w:hint="eastAsia" w:ascii="仿宋_GB2312" w:hAnsi="宋体" w:eastAsia="仿宋_GB2312" w:cs="仿宋_GB2312"/>
          <w:sz w:val="32"/>
          <w:szCs w:val="32"/>
          <w:lang w:eastAsia="zh-CN"/>
        </w:rPr>
        <w:t>严格控制三公经费的支出</w:t>
      </w:r>
      <w:r>
        <w:rPr>
          <w:rFonts w:hint="eastAsia" w:ascii="仿宋_GB2312" w:hAnsi="宋体" w:eastAsia="仿宋_GB2312" w:cs="仿宋_GB2312"/>
          <w:sz w:val="32"/>
          <w:szCs w:val="32"/>
        </w:rPr>
        <w:t>；公务接待费支出减少的主要原因是</w:t>
      </w:r>
      <w:r>
        <w:rPr>
          <w:rFonts w:hint="eastAsia" w:ascii="仿宋_GB2312" w:hAnsi="宋体" w:eastAsia="仿宋_GB2312" w:cs="仿宋_GB2312"/>
          <w:sz w:val="32"/>
          <w:szCs w:val="32"/>
          <w:lang w:eastAsia="zh-CN"/>
        </w:rPr>
        <w:t>严格控制三公经费的支出</w:t>
      </w:r>
      <w:r>
        <w:rPr>
          <w:rFonts w:hint="eastAsia" w:ascii="仿宋_GB2312" w:hAnsi="宋体" w:eastAsia="仿宋_GB2312" w:cs="仿宋_GB2312"/>
          <w:sz w:val="32"/>
          <w:szCs w:val="32"/>
        </w:rPr>
        <w:t>。</w:t>
      </w:r>
    </w:p>
    <w:p>
      <w:pPr>
        <w:numPr>
          <w:ilvl w:val="0"/>
          <w:numId w:val="6"/>
        </w:numPr>
        <w:kinsoku w:val="0"/>
        <w:overflowPunct w:val="0"/>
        <w:autoSpaceDE w:val="0"/>
        <w:autoSpaceDN w:val="0"/>
        <w:adjustRightInd w:val="0"/>
        <w:snapToGrid w:val="0"/>
        <w:spacing w:line="360" w:lineRule="auto"/>
        <w:ind w:firstLine="31680" w:firstLineChars="200"/>
        <w:rPr>
          <w:rFonts w:ascii="楷体_GB2312" w:hAnsi="楷体_GB2312" w:eastAsia="楷体_GB2312" w:cs="Times New Roman"/>
          <w:sz w:val="32"/>
          <w:szCs w:val="32"/>
        </w:rPr>
      </w:pPr>
      <w:r>
        <w:rPr>
          <w:rFonts w:hint="eastAsia" w:ascii="楷体_GB2312" w:hAnsi="楷体_GB2312" w:eastAsia="楷体_GB2312" w:cs="楷体_GB2312"/>
          <w:sz w:val="32"/>
          <w:szCs w:val="32"/>
        </w:rPr>
        <w:t>“三公”经费财政拨款支出决算具体情况说明。</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年度“三公”经费财政拨款支出决算中，公务用车购置及运行费支出决算</w:t>
      </w:r>
      <w:r>
        <w:rPr>
          <w:rFonts w:hint="eastAsia" w:ascii="仿宋_GB2312" w:hAnsi="宋体" w:eastAsia="仿宋_GB2312" w:cs="仿宋_GB2312"/>
          <w:sz w:val="32"/>
          <w:szCs w:val="32"/>
          <w:lang w:val="en-US" w:eastAsia="zh-CN"/>
        </w:rPr>
        <w:t>5.01</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78.4</w:t>
      </w:r>
      <w:r>
        <w:rPr>
          <w:rFonts w:ascii="仿宋_GB2312" w:hAnsi="宋体" w:eastAsia="仿宋_GB2312" w:cs="仿宋_GB2312"/>
          <w:sz w:val="32"/>
          <w:szCs w:val="32"/>
        </w:rPr>
        <w:t>%</w:t>
      </w:r>
      <w:r>
        <w:rPr>
          <w:rFonts w:hint="eastAsia" w:ascii="仿宋_GB2312" w:hAnsi="宋体" w:eastAsia="仿宋_GB2312" w:cs="仿宋_GB2312"/>
          <w:sz w:val="32"/>
          <w:szCs w:val="32"/>
        </w:rPr>
        <w:t>；公务接待费支出决算</w:t>
      </w:r>
      <w:r>
        <w:rPr>
          <w:rFonts w:hint="eastAsia" w:ascii="仿宋_GB2312" w:hAnsi="宋体" w:eastAsia="仿宋_GB2312" w:cs="仿宋_GB2312"/>
          <w:sz w:val="32"/>
          <w:szCs w:val="32"/>
          <w:lang w:val="en-US" w:eastAsia="zh-CN"/>
        </w:rPr>
        <w:t>1.38</w:t>
      </w:r>
      <w:r>
        <w:rPr>
          <w:rFonts w:hint="eastAsia" w:ascii="仿宋_GB2312" w:hAnsi="宋体" w:eastAsia="仿宋_GB2312" w:cs="仿宋_GB2312"/>
          <w:sz w:val="32"/>
          <w:szCs w:val="32"/>
        </w:rPr>
        <w:t>万元，占</w:t>
      </w:r>
      <w:r>
        <w:rPr>
          <w:rFonts w:hint="eastAsia" w:ascii="仿宋_GB2312" w:hAnsi="宋体" w:eastAsia="仿宋_GB2312" w:cs="仿宋_GB2312"/>
          <w:sz w:val="32"/>
          <w:szCs w:val="32"/>
          <w:lang w:val="en-US" w:eastAsia="zh-CN"/>
        </w:rPr>
        <w:t>21.6</w:t>
      </w:r>
      <w:r>
        <w:rPr>
          <w:rFonts w:ascii="仿宋_GB2312" w:hAnsi="宋体" w:eastAsia="仿宋_GB2312" w:cs="仿宋_GB2312"/>
          <w:sz w:val="32"/>
          <w:szCs w:val="32"/>
        </w:rPr>
        <w:t>%</w:t>
      </w:r>
      <w:r>
        <w:rPr>
          <w:rFonts w:hint="eastAsia" w:ascii="仿宋_GB2312" w:hAnsi="宋体" w:eastAsia="仿宋_GB2312" w:cs="仿宋_GB2312"/>
          <w:sz w:val="32"/>
          <w:szCs w:val="32"/>
        </w:rPr>
        <w:t>。具体情况如下：</w:t>
      </w:r>
    </w:p>
    <w:p>
      <w:pPr>
        <w:adjustRightInd w:val="0"/>
        <w:snapToGrid w:val="0"/>
        <w:spacing w:line="360" w:lineRule="auto"/>
        <w:jc w:val="center"/>
        <w:rPr>
          <w:rFonts w:ascii="宋体" w:cs="Times New Roman"/>
          <w:sz w:val="24"/>
          <w:szCs w:val="24"/>
        </w:rPr>
      </w:pPr>
      <w:r>
        <w:rPr>
          <w:rFonts w:hint="eastAsia" w:ascii="宋体" w:hAnsi="宋体" w:cs="宋体"/>
          <w:sz w:val="24"/>
          <w:szCs w:val="24"/>
        </w:rPr>
        <w:t>图</w:t>
      </w:r>
      <w:r>
        <w:rPr>
          <w:rFonts w:ascii="宋体" w:hAnsi="宋体" w:cs="宋体"/>
          <w:sz w:val="24"/>
          <w:szCs w:val="24"/>
        </w:rPr>
        <w:t>7</w:t>
      </w:r>
      <w:r>
        <w:rPr>
          <w:rFonts w:hint="eastAsia" w:ascii="宋体" w:hAnsi="宋体" w:cs="宋体"/>
          <w:sz w:val="24"/>
          <w:szCs w:val="24"/>
        </w:rPr>
        <w:t>：“三公”经费财政拨款支出结构</w:t>
      </w:r>
    </w:p>
    <w:p>
      <w:pPr>
        <w:kinsoku w:val="0"/>
        <w:overflowPunct w:val="0"/>
        <w:autoSpaceDE w:val="0"/>
        <w:autoSpaceDN w:val="0"/>
        <w:adjustRightInd w:val="0"/>
        <w:snapToGrid w:val="0"/>
        <w:spacing w:line="360" w:lineRule="auto"/>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p>
    <w:p>
      <w:pPr>
        <w:numPr>
          <w:ilvl w:val="0"/>
          <w:numId w:val="7"/>
        </w:numPr>
        <w:kinsoku w:val="0"/>
        <w:overflowPunct w:val="0"/>
        <w:autoSpaceDE w:val="0"/>
        <w:autoSpaceDN w:val="0"/>
        <w:adjustRightInd w:val="0"/>
        <w:snapToGrid w:val="0"/>
        <w:spacing w:line="360" w:lineRule="auto"/>
        <w:ind w:firstLine="31680"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因公出国（境）费</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w:t>
      </w:r>
    </w:p>
    <w:p>
      <w:pPr>
        <w:numPr>
          <w:ilvl w:val="0"/>
          <w:numId w:val="7"/>
        </w:numPr>
        <w:kinsoku w:val="0"/>
        <w:overflowPunct w:val="0"/>
        <w:autoSpaceDE w:val="0"/>
        <w:autoSpaceDN w:val="0"/>
        <w:adjustRightInd w:val="0"/>
        <w:snapToGrid w:val="0"/>
        <w:spacing w:line="360" w:lineRule="auto"/>
        <w:ind w:firstLine="31680"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公务用车购置及运行费</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5.01</w:t>
      </w:r>
      <w:r>
        <w:rPr>
          <w:rFonts w:hint="eastAsia" w:ascii="仿宋_GB2312" w:hAnsi="宋体" w:eastAsia="仿宋_GB2312" w:cs="仿宋_GB2312"/>
          <w:sz w:val="32"/>
          <w:szCs w:val="32"/>
        </w:rPr>
        <w:t>万元。其中：</w:t>
      </w:r>
    </w:p>
    <w:p>
      <w:pPr>
        <w:kinsoku w:val="0"/>
        <w:overflowPunct w:val="0"/>
        <w:autoSpaceDE w:val="0"/>
        <w:autoSpaceDN w:val="0"/>
        <w:adjustRightInd w:val="0"/>
        <w:snapToGrid w:val="0"/>
        <w:spacing w:line="360" w:lineRule="auto"/>
        <w:ind w:firstLine="31680" w:firstLineChars="200"/>
        <w:rPr>
          <w:rFonts w:hint="eastAsia" w:ascii="仿宋_GB2312" w:hAnsi="宋体" w:eastAsia="仿宋_GB2312" w:cs="仿宋_GB2312"/>
          <w:sz w:val="32"/>
          <w:szCs w:val="32"/>
        </w:rPr>
      </w:pPr>
      <w:r>
        <w:rPr>
          <w:rFonts w:hint="eastAsia" w:ascii="仿宋_GB2312" w:hAnsi="宋体" w:eastAsia="仿宋_GB2312" w:cs="仿宋_GB2312"/>
          <w:b/>
          <w:bCs/>
          <w:sz w:val="32"/>
          <w:szCs w:val="32"/>
        </w:rPr>
        <w:t>公务用车购置</w:t>
      </w:r>
      <w:r>
        <w:rPr>
          <w:rFonts w:hint="eastAsia" w:ascii="仿宋_GB2312" w:hAnsi="宋体" w:eastAsia="仿宋_GB2312" w:cs="仿宋_GB2312"/>
          <w:sz w:val="32"/>
          <w:szCs w:val="32"/>
        </w:rPr>
        <w:t>支出为</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公务用车运行</w:t>
      </w:r>
      <w:r>
        <w:rPr>
          <w:rFonts w:hint="eastAsia" w:ascii="仿宋_GB2312" w:hAnsi="宋体" w:eastAsia="仿宋_GB2312" w:cs="仿宋_GB2312"/>
          <w:sz w:val="32"/>
          <w:szCs w:val="32"/>
        </w:rPr>
        <w:t>支出</w:t>
      </w:r>
      <w:r>
        <w:rPr>
          <w:rFonts w:hint="eastAsia" w:ascii="仿宋_GB2312" w:hAnsi="宋体" w:eastAsia="仿宋_GB2312" w:cs="仿宋_GB2312"/>
          <w:sz w:val="32"/>
          <w:szCs w:val="32"/>
          <w:lang w:val="en-US" w:eastAsia="zh-CN"/>
        </w:rPr>
        <w:t>5.01</w:t>
      </w:r>
      <w:r>
        <w:rPr>
          <w:rFonts w:hint="eastAsia" w:ascii="仿宋_GB2312" w:hAnsi="宋体" w:eastAsia="仿宋_GB2312" w:cs="仿宋_GB2312"/>
          <w:sz w:val="32"/>
          <w:szCs w:val="32"/>
        </w:rPr>
        <w:t>万元。主要用于</w:t>
      </w:r>
      <w:r>
        <w:rPr>
          <w:rFonts w:hint="eastAsia" w:ascii="仿宋_GB2312" w:hAnsi="宋体" w:eastAsia="仿宋_GB2312" w:cs="仿宋_GB2312"/>
          <w:sz w:val="32"/>
          <w:szCs w:val="32"/>
          <w:lang w:eastAsia="zh-CN"/>
        </w:rPr>
        <w:t>公务用车加油</w:t>
      </w:r>
      <w:r>
        <w:rPr>
          <w:rFonts w:hint="eastAsia" w:ascii="仿宋_GB2312" w:hAnsi="宋体" w:eastAsia="仿宋_GB2312" w:cs="仿宋_GB2312"/>
          <w:sz w:val="32"/>
          <w:szCs w:val="32"/>
        </w:rPr>
        <w:t>。</w:t>
      </w:r>
      <w:r>
        <w:rPr>
          <w:rFonts w:ascii="仿宋_GB2312" w:hAnsi="宋体" w:eastAsia="仿宋_GB2312" w:cs="仿宋_GB2312"/>
          <w:sz w:val="32"/>
          <w:szCs w:val="32"/>
        </w:rPr>
        <w:t>2016</w:t>
      </w:r>
      <w:r>
        <w:rPr>
          <w:rFonts w:hint="eastAsia" w:ascii="仿宋_GB2312" w:hAnsi="宋体" w:eastAsia="仿宋_GB2312" w:cs="仿宋_GB2312"/>
          <w:sz w:val="32"/>
          <w:szCs w:val="32"/>
        </w:rPr>
        <w:t>年期末</w:t>
      </w:r>
      <w:r>
        <w:rPr>
          <w:rFonts w:hint="eastAsia" w:ascii="仿宋_GB2312" w:hAnsi="宋体" w:eastAsia="仿宋_GB2312" w:cs="仿宋_GB2312"/>
          <w:sz w:val="32"/>
          <w:szCs w:val="32"/>
          <w:lang w:eastAsia="zh-CN"/>
        </w:rPr>
        <w:t>李万街道办事处</w:t>
      </w:r>
      <w:r>
        <w:rPr>
          <w:rFonts w:hint="eastAsia" w:ascii="仿宋_GB2312" w:hAnsi="宋体" w:eastAsia="仿宋_GB2312" w:cs="仿宋_GB2312"/>
          <w:sz w:val="32"/>
          <w:szCs w:val="32"/>
        </w:rPr>
        <w:t>开支财政拨款的公务用车保有量为</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量。</w:t>
      </w:r>
    </w:p>
    <w:p>
      <w:pPr>
        <w:numPr>
          <w:ilvl w:val="0"/>
          <w:numId w:val="7"/>
        </w:numPr>
        <w:kinsoku w:val="0"/>
        <w:overflowPunct w:val="0"/>
        <w:autoSpaceDE w:val="0"/>
        <w:autoSpaceDN w:val="0"/>
        <w:adjustRightInd w:val="0"/>
        <w:snapToGrid w:val="0"/>
        <w:spacing w:line="360" w:lineRule="auto"/>
        <w:ind w:firstLine="31680" w:firstLineChars="200"/>
        <w:rPr>
          <w:rFonts w:ascii="仿宋_GB2312" w:hAnsi="宋体" w:eastAsia="仿宋_GB2312" w:cs="Times New Roman"/>
          <w:b/>
          <w:bCs/>
          <w:sz w:val="32"/>
          <w:szCs w:val="32"/>
        </w:rPr>
      </w:pPr>
      <w:r>
        <w:rPr>
          <w:rFonts w:hint="eastAsia" w:ascii="仿宋_GB2312" w:hAnsi="宋体" w:eastAsia="仿宋_GB2312" w:cs="仿宋_GB2312"/>
          <w:b/>
          <w:bCs/>
          <w:sz w:val="32"/>
          <w:szCs w:val="32"/>
        </w:rPr>
        <w:t>公务接待费支出</w:t>
      </w:r>
      <w:r>
        <w:rPr>
          <w:rFonts w:hint="eastAsia" w:ascii="仿宋_GB2312" w:hAnsi="宋体" w:eastAsia="仿宋_GB2312" w:cs="仿宋_GB2312"/>
          <w:b/>
          <w:bCs/>
          <w:sz w:val="32"/>
          <w:szCs w:val="32"/>
          <w:lang w:val="en-US" w:eastAsia="zh-CN"/>
        </w:rPr>
        <w:t>1.38</w:t>
      </w:r>
      <w:r>
        <w:rPr>
          <w:rFonts w:hint="eastAsia" w:ascii="仿宋_GB2312" w:hAnsi="宋体" w:eastAsia="仿宋_GB2312" w:cs="仿宋_GB2312"/>
          <w:b/>
          <w:bCs/>
          <w:sz w:val="32"/>
          <w:szCs w:val="32"/>
        </w:rPr>
        <w:t>万元。</w:t>
      </w:r>
      <w:r>
        <w:rPr>
          <w:rFonts w:hint="eastAsia" w:ascii="仿宋_GB2312" w:hAnsi="宋体" w:eastAsia="仿宋_GB2312" w:cs="仿宋_GB2312"/>
          <w:sz w:val="32"/>
          <w:szCs w:val="32"/>
        </w:rPr>
        <w:t>主要用于</w:t>
      </w:r>
      <w:r>
        <w:rPr>
          <w:rFonts w:hint="eastAsia" w:ascii="仿宋_GB2312" w:hAnsi="宋体" w:eastAsia="仿宋_GB2312" w:cs="仿宋_GB2312"/>
          <w:sz w:val="32"/>
          <w:szCs w:val="32"/>
          <w:lang w:eastAsia="zh-CN"/>
        </w:rPr>
        <w:t>加班就餐</w:t>
      </w:r>
      <w:r>
        <w:rPr>
          <w:rFonts w:hint="eastAsia" w:ascii="仿宋_GB2312" w:hAnsi="宋体" w:eastAsia="仿宋_GB2312" w:cs="仿宋_GB2312"/>
          <w:sz w:val="32"/>
          <w:szCs w:val="32"/>
        </w:rPr>
        <w:t>。</w:t>
      </w:r>
    </w:p>
    <w:p>
      <w:pPr>
        <w:numPr>
          <w:numId w:val="0"/>
        </w:numPr>
        <w:kinsoku w:val="0"/>
        <w:overflowPunct w:val="0"/>
        <w:autoSpaceDE w:val="0"/>
        <w:autoSpaceDN w:val="0"/>
        <w:adjustRightInd w:val="0"/>
        <w:snapToGrid w:val="0"/>
        <w:spacing w:line="360" w:lineRule="auto"/>
        <w:rPr>
          <w:rFonts w:ascii="楷体_GB2312" w:hAnsi="楷体_GB2312" w:eastAsia="楷体_GB2312" w:cs="Times New Roman"/>
          <w:sz w:val="32"/>
          <w:szCs w:val="32"/>
        </w:rPr>
      </w:pPr>
    </w:p>
    <w:p>
      <w:pPr>
        <w:numPr>
          <w:numId w:val="0"/>
        </w:numPr>
        <w:adjustRightInd w:val="0"/>
        <w:snapToGrid w:val="0"/>
        <w:spacing w:line="360" w:lineRule="auto"/>
        <w:outlineLvl w:val="1"/>
        <w:rPr>
          <w:rFonts w:ascii="黑体" w:hAnsi="黑体" w:eastAsia="黑体" w:cs="Times New Roman"/>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八、</w:t>
      </w:r>
      <w:r>
        <w:rPr>
          <w:rFonts w:hint="eastAsia" w:ascii="黑体" w:hAnsi="黑体" w:eastAsia="黑体" w:cs="黑体"/>
          <w:sz w:val="32"/>
          <w:szCs w:val="32"/>
        </w:rPr>
        <w:t>其他重要事项的情况说明</w:t>
      </w:r>
    </w:p>
    <w:p>
      <w:pPr>
        <w:numPr>
          <w:ilvl w:val="0"/>
          <w:numId w:val="8"/>
        </w:numPr>
        <w:kinsoku w:val="0"/>
        <w:overflowPunct w:val="0"/>
        <w:autoSpaceDE w:val="0"/>
        <w:autoSpaceDN w:val="0"/>
        <w:adjustRightInd w:val="0"/>
        <w:snapToGrid w:val="0"/>
        <w:spacing w:line="360" w:lineRule="auto"/>
        <w:ind w:firstLine="31680" w:firstLineChars="200"/>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机关运行经费支出情况。</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年度机关运行经费支出</w:t>
      </w:r>
      <w:r>
        <w:rPr>
          <w:rFonts w:hint="eastAsia" w:ascii="仿宋_GB2312" w:hAnsi="宋体" w:eastAsia="仿宋_GB2312" w:cs="仿宋_GB2312"/>
          <w:sz w:val="32"/>
          <w:szCs w:val="32"/>
          <w:lang w:val="en-US" w:eastAsia="zh-CN"/>
        </w:rPr>
        <w:t>120</w:t>
      </w:r>
      <w:r>
        <w:rPr>
          <w:rFonts w:hint="eastAsia" w:ascii="仿宋_GB2312" w:hAnsi="宋体" w:eastAsia="仿宋_GB2312" w:cs="仿宋_GB2312"/>
          <w:sz w:val="32"/>
          <w:szCs w:val="32"/>
        </w:rPr>
        <w:t>万元，比</w:t>
      </w:r>
      <w:r>
        <w:rPr>
          <w:rFonts w:ascii="仿宋_GB2312" w:hAnsi="宋体" w:eastAsia="仿宋_GB2312" w:cs="仿宋_GB2312"/>
          <w:sz w:val="32"/>
          <w:szCs w:val="32"/>
        </w:rPr>
        <w:t>2015</w:t>
      </w:r>
      <w:r>
        <w:rPr>
          <w:rFonts w:hint="eastAsia" w:ascii="仿宋_GB2312" w:hAnsi="宋体" w:eastAsia="仿宋_GB2312" w:cs="仿宋_GB2312"/>
          <w:sz w:val="32"/>
          <w:szCs w:val="32"/>
        </w:rPr>
        <w:t>年增加</w:t>
      </w:r>
      <w:r>
        <w:rPr>
          <w:rFonts w:hint="eastAsia" w:ascii="仿宋_GB2312" w:hAnsi="宋体" w:eastAsia="仿宋_GB2312" w:cs="仿宋_GB2312"/>
          <w:sz w:val="32"/>
          <w:szCs w:val="32"/>
          <w:lang w:val="en-US" w:eastAsia="zh-CN"/>
        </w:rPr>
        <w:t>0</w:t>
      </w:r>
      <w:r>
        <w:rPr>
          <w:rFonts w:hint="eastAsia" w:ascii="仿宋_GB2312" w:hAnsi="宋体" w:eastAsia="仿宋_GB2312" w:cs="仿宋_GB2312"/>
          <w:sz w:val="32"/>
          <w:szCs w:val="32"/>
        </w:rPr>
        <w:t>万元。</w:t>
      </w:r>
    </w:p>
    <w:p>
      <w:pPr>
        <w:numPr>
          <w:ilvl w:val="0"/>
          <w:numId w:val="8"/>
        </w:numPr>
        <w:kinsoku w:val="0"/>
        <w:overflowPunct w:val="0"/>
        <w:autoSpaceDE w:val="0"/>
        <w:autoSpaceDN w:val="0"/>
        <w:adjustRightInd w:val="0"/>
        <w:snapToGrid w:val="0"/>
        <w:spacing w:line="360" w:lineRule="auto"/>
        <w:ind w:firstLine="31680" w:firstLineChars="200"/>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政府采购支出情况。</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年度政府采购支出总额</w:t>
      </w:r>
      <w:r>
        <w:rPr>
          <w:rFonts w:hint="eastAsia" w:ascii="仿宋_GB2312" w:hAnsi="宋体" w:eastAsia="仿宋_GB2312" w:cs="仿宋_GB2312"/>
          <w:sz w:val="32"/>
          <w:szCs w:val="32"/>
          <w:lang w:val="en-US" w:eastAsia="zh-CN"/>
        </w:rPr>
        <w:t>48.42</w:t>
      </w:r>
      <w:r>
        <w:rPr>
          <w:rFonts w:hint="eastAsia" w:ascii="仿宋_GB2312" w:hAnsi="宋体" w:eastAsia="仿宋_GB2312" w:cs="仿宋_GB2312"/>
          <w:sz w:val="32"/>
          <w:szCs w:val="32"/>
        </w:rPr>
        <w:t>万元，其中：政府采购货物支出</w:t>
      </w:r>
      <w:r>
        <w:rPr>
          <w:rFonts w:hint="eastAsia" w:ascii="仿宋_GB2312" w:hAnsi="宋体" w:eastAsia="仿宋_GB2312" w:cs="仿宋_GB2312"/>
          <w:sz w:val="32"/>
          <w:szCs w:val="32"/>
          <w:lang w:val="en-US" w:eastAsia="zh-CN"/>
        </w:rPr>
        <w:t>48.42</w:t>
      </w:r>
      <w:r>
        <w:rPr>
          <w:rFonts w:hint="eastAsia" w:ascii="仿宋_GB2312" w:hAnsi="宋体" w:eastAsia="仿宋_GB2312" w:cs="仿宋_GB2312"/>
          <w:sz w:val="32"/>
          <w:szCs w:val="32"/>
        </w:rPr>
        <w:t>万元</w:t>
      </w:r>
      <w:r>
        <w:rPr>
          <w:rFonts w:hint="eastAsia" w:ascii="仿宋_GB2312" w:hAnsi="宋体" w:eastAsia="仿宋_GB2312" w:cs="仿宋_GB2312"/>
          <w:sz w:val="32"/>
          <w:szCs w:val="32"/>
          <w:lang w:eastAsia="zh-CN"/>
        </w:rPr>
        <w:t>。</w:t>
      </w:r>
    </w:p>
    <w:p>
      <w:pPr>
        <w:numPr>
          <w:ilvl w:val="0"/>
          <w:numId w:val="8"/>
        </w:numPr>
        <w:kinsoku w:val="0"/>
        <w:overflowPunct w:val="0"/>
        <w:autoSpaceDE w:val="0"/>
        <w:autoSpaceDN w:val="0"/>
        <w:adjustRightInd w:val="0"/>
        <w:snapToGrid w:val="0"/>
        <w:spacing w:line="360" w:lineRule="auto"/>
        <w:ind w:firstLine="31680" w:firstLineChars="200"/>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国有资产占用情况。</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ascii="仿宋_GB2312" w:hAnsi="宋体" w:eastAsia="仿宋_GB2312" w:cs="仿宋_GB2312"/>
          <w:sz w:val="32"/>
          <w:szCs w:val="32"/>
        </w:rPr>
        <w:t>2016</w:t>
      </w:r>
      <w:r>
        <w:rPr>
          <w:rFonts w:hint="eastAsia" w:ascii="仿宋_GB2312" w:hAnsi="宋体" w:eastAsia="仿宋_GB2312" w:cs="仿宋_GB2312"/>
          <w:sz w:val="32"/>
          <w:szCs w:val="32"/>
        </w:rPr>
        <w:t>年期末，</w:t>
      </w:r>
      <w:r>
        <w:rPr>
          <w:rFonts w:hint="eastAsia" w:ascii="仿宋_GB2312" w:hAnsi="宋体" w:eastAsia="仿宋_GB2312" w:cs="仿宋_GB2312"/>
          <w:sz w:val="32"/>
          <w:szCs w:val="32"/>
          <w:lang w:eastAsia="zh-CN"/>
        </w:rPr>
        <w:t>李万街道办事处</w:t>
      </w:r>
      <w:r>
        <w:rPr>
          <w:rFonts w:hint="eastAsia" w:ascii="仿宋_GB2312" w:hAnsi="宋体" w:eastAsia="仿宋_GB2312" w:cs="仿宋_GB2312"/>
          <w:sz w:val="32"/>
          <w:szCs w:val="32"/>
        </w:rPr>
        <w:t>共有车辆</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辆，其中：一般公务用车</w:t>
      </w:r>
      <w:r>
        <w:rPr>
          <w:rFonts w:hint="eastAsia" w:ascii="仿宋_GB2312" w:hAnsi="宋体" w:eastAsia="仿宋_GB2312" w:cs="仿宋_GB2312"/>
          <w:sz w:val="32"/>
          <w:szCs w:val="32"/>
          <w:lang w:val="en-US" w:eastAsia="zh-CN"/>
        </w:rPr>
        <w:t>3</w:t>
      </w:r>
      <w:r>
        <w:rPr>
          <w:rFonts w:hint="eastAsia" w:ascii="仿宋_GB2312" w:hAnsi="宋体" w:eastAsia="仿宋_GB2312" w:cs="仿宋_GB2312"/>
          <w:sz w:val="32"/>
          <w:szCs w:val="32"/>
        </w:rPr>
        <w:t>辆</w:t>
      </w:r>
      <w:r>
        <w:rPr>
          <w:rFonts w:hint="eastAsia" w:ascii="仿宋_GB2312" w:hAnsi="宋体" w:eastAsia="仿宋_GB2312" w:cs="仿宋_GB2312"/>
          <w:sz w:val="32"/>
          <w:szCs w:val="32"/>
          <w:lang w:eastAsia="zh-CN"/>
        </w:rPr>
        <w:t>。</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sectPr>
          <w:pgSz w:w="11906" w:h="16838"/>
          <w:pgMar w:top="1440" w:right="1531" w:bottom="1440" w:left="1587" w:header="850" w:footer="992" w:gutter="0"/>
          <w:pgNumType w:fmt="numberInDash"/>
          <w:cols w:space="720" w:num="1"/>
          <w:docGrid w:type="lines" w:linePitch="317"/>
        </w:sect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left"/>
        <w:rPr>
          <w:rFonts w:ascii="黑体" w:hAnsi="黑体" w:eastAsia="黑体" w:cs="Times New Roman"/>
          <w:sz w:val="32"/>
          <w:szCs w:val="32"/>
        </w:rPr>
      </w:pPr>
    </w:p>
    <w:p>
      <w:pPr>
        <w:jc w:val="center"/>
        <w:outlineLvl w:val="0"/>
        <w:rPr>
          <w:rFonts w:ascii="隶书" w:hAnsi="隶书" w:eastAsia="隶书" w:cs="Times New Roman"/>
          <w:sz w:val="48"/>
          <w:szCs w:val="48"/>
        </w:rPr>
        <w:sectPr>
          <w:pgSz w:w="11906" w:h="16838"/>
          <w:pgMar w:top="1440" w:right="1531" w:bottom="1440" w:left="1587" w:header="850" w:footer="992" w:gutter="0"/>
          <w:pgNumType w:fmt="numberInDash"/>
          <w:cols w:space="720" w:num="1"/>
          <w:docGrid w:type="lines" w:linePitch="317"/>
        </w:sectPr>
      </w:pPr>
      <w:r>
        <w:rPr>
          <w:rFonts w:hint="eastAsia" w:ascii="隶书" w:hAnsi="隶书" w:eastAsia="隶书" w:cs="隶书"/>
          <w:sz w:val="48"/>
          <w:szCs w:val="48"/>
        </w:rPr>
        <w:t>第四部分　　名词解释</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b/>
          <w:bCs/>
          <w:sz w:val="32"/>
          <w:szCs w:val="32"/>
        </w:rPr>
      </w:pP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一、财政拨款收入：</w:t>
      </w:r>
      <w:r>
        <w:rPr>
          <w:rFonts w:hint="eastAsia" w:ascii="仿宋_GB2312" w:hAnsi="宋体" w:eastAsia="仿宋_GB2312" w:cs="仿宋_GB2312"/>
          <w:sz w:val="32"/>
          <w:szCs w:val="32"/>
        </w:rPr>
        <w:t>指市级财政当年拨付的资金。</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二、事业收入：</w:t>
      </w:r>
      <w:r>
        <w:rPr>
          <w:rFonts w:hint="eastAsia" w:ascii="仿宋_GB2312" w:hAnsi="宋体" w:eastAsia="仿宋_GB2312" w:cs="仿宋_GB2312"/>
          <w:sz w:val="32"/>
          <w:szCs w:val="32"/>
        </w:rPr>
        <w:t>指事业单位开展专业业务活动及辅助活动所取得的收入。</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三、其他收入：</w:t>
      </w:r>
      <w:r>
        <w:rPr>
          <w:rFonts w:hint="eastAsia" w:ascii="仿宋_GB2312" w:hAnsi="宋体" w:eastAsia="仿宋_GB2312" w:cs="仿宋_GB2312"/>
          <w:sz w:val="32"/>
          <w:szCs w:val="32"/>
        </w:rPr>
        <w:t>指本部门取得的除“财政拨款收入”、“事业收入”、“经营收入”等以外的收入。</w:t>
      </w:r>
    </w:p>
    <w:p>
      <w:pPr>
        <w:kinsoku w:val="0"/>
        <w:overflowPunct w:val="0"/>
        <w:autoSpaceDE w:val="0"/>
        <w:autoSpaceDN w:val="0"/>
        <w:adjustRightInd w:val="0"/>
        <w:snapToGrid w:val="0"/>
        <w:spacing w:line="360" w:lineRule="auto"/>
        <w:ind w:firstLine="31680" w:firstLineChars="200"/>
        <w:jc w:val="left"/>
        <w:rPr>
          <w:rFonts w:ascii="仿宋_GB2312" w:hAnsi="宋体" w:eastAsia="仿宋_GB2312" w:cs="Times New Roman"/>
          <w:sz w:val="32"/>
          <w:szCs w:val="32"/>
        </w:rPr>
      </w:pPr>
      <w:r>
        <w:rPr>
          <w:rFonts w:hint="eastAsia" w:ascii="仿宋_GB2312" w:hAnsi="宋体" w:eastAsia="仿宋_GB2312" w:cs="仿宋_GB2312"/>
          <w:b/>
          <w:bCs/>
          <w:sz w:val="32"/>
          <w:szCs w:val="32"/>
        </w:rPr>
        <w:t>四、用事业基金弥补收支差额：</w:t>
      </w:r>
      <w:r>
        <w:rPr>
          <w:rFonts w:hint="eastAsia" w:ascii="仿宋_GB2312" w:hAnsi="宋体" w:eastAsia="仿宋_GB2312" w:cs="仿宋_GB2312"/>
          <w:sz w:val="32"/>
          <w:szCs w:val="32"/>
        </w:rPr>
        <w:t>不足以安排当年支出的情况下，使用以前年度积累的事业基金（事业单位当年收支相抵后按国家规定提取、用于弥补以后年度收支差额的基金）弥补当年收支缺口的资金。</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五、年末结转和结余：</w:t>
      </w:r>
      <w:r>
        <w:rPr>
          <w:rFonts w:hint="eastAsia" w:ascii="仿宋_GB2312" w:hAnsi="宋体" w:eastAsia="仿宋_GB2312" w:cs="仿宋_GB2312"/>
          <w:sz w:val="32"/>
          <w:szCs w:val="32"/>
        </w:rPr>
        <w:t>指本年度或以前年度预算安排、因客观条件发生变化无法按原计划实施，需延迟到以后年度按有关规定继续使用的资金。</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六、基本支出：</w:t>
      </w:r>
      <w:r>
        <w:rPr>
          <w:rFonts w:hint="eastAsia" w:ascii="仿宋_GB2312" w:hAnsi="宋体" w:eastAsia="仿宋_GB2312" w:cs="仿宋_GB2312"/>
          <w:sz w:val="32"/>
          <w:szCs w:val="32"/>
        </w:rPr>
        <w:t>指为保障机构正常运转、完成日常工作任务而发生的人员支出和公用支出。</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七、项目支出：</w:t>
      </w:r>
      <w:r>
        <w:rPr>
          <w:rFonts w:hint="eastAsia" w:ascii="仿宋_GB2312" w:hAnsi="宋体" w:eastAsia="仿宋_GB2312" w:cs="仿宋_GB2312"/>
          <w:sz w:val="32"/>
          <w:szCs w:val="32"/>
        </w:rPr>
        <w:t>指在基本支出之外为完成特定行政任务和事业发展目标所发生的支出</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八、</w:t>
      </w:r>
      <w:r>
        <w:rPr>
          <w:rFonts w:hint="eastAsia" w:ascii="仿宋_GB2312" w:hAnsi="仿宋_GB2312" w:eastAsia="仿宋_GB2312" w:cs="仿宋_GB2312"/>
          <w:b/>
          <w:bCs/>
          <w:sz w:val="32"/>
          <w:szCs w:val="32"/>
        </w:rPr>
        <w:t>外交（类）国际组织（款）国际组织会费（项）</w:t>
      </w:r>
      <w:r>
        <w:rPr>
          <w:rFonts w:hint="eastAsia" w:ascii="仿宋_GB2312" w:hAnsi="宋体" w:eastAsia="仿宋_GB2312" w:cs="仿宋_GB2312"/>
          <w:sz w:val="32"/>
          <w:szCs w:val="32"/>
        </w:rPr>
        <w:t>。</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九、外交（类）国际组织（款）国际组织捐赠（项）</w:t>
      </w:r>
      <w:r>
        <w:rPr>
          <w:rFonts w:hint="eastAsia" w:ascii="仿宋_GB2312" w:hAnsi="宋体" w:eastAsia="仿宋_GB2312" w:cs="仿宋_GB2312"/>
          <w:sz w:val="32"/>
          <w:szCs w:val="32"/>
        </w:rPr>
        <w:t>。</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hint="eastAsia" w:ascii="仿宋_GB2312" w:hAnsi="宋体" w:eastAsia="仿宋_GB2312" w:cs="仿宋_GB2312"/>
          <w:b/>
          <w:bCs/>
          <w:sz w:val="32"/>
          <w:szCs w:val="32"/>
        </w:rPr>
        <w:t>十、外交（类）国际组织（款）国际组织股金及基金（项）</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ind w:firstLine="31680" w:firstLineChars="200"/>
        <w:jc w:val="left"/>
        <w:rPr>
          <w:rFonts w:ascii="仿宋_GB2312" w:hAnsi="宋体" w:eastAsia="仿宋_GB2312" w:cs="Times New Roman"/>
          <w:sz w:val="32"/>
          <w:szCs w:val="32"/>
        </w:rPr>
      </w:pPr>
      <w:r>
        <w:rPr>
          <w:rFonts w:hint="eastAsia" w:ascii="仿宋_GB2312" w:hAnsi="宋体" w:eastAsia="仿宋_GB2312" w:cs="仿宋_GB2312"/>
          <w:b/>
          <w:bCs/>
          <w:sz w:val="32"/>
          <w:szCs w:val="32"/>
          <w:lang w:eastAsia="zh-CN"/>
        </w:rPr>
        <w:t>十一</w:t>
      </w:r>
      <w:r>
        <w:rPr>
          <w:rFonts w:hint="eastAsia" w:ascii="仿宋_GB2312" w:hAnsi="宋体" w:eastAsia="仿宋_GB2312" w:cs="仿宋_GB2312"/>
          <w:b/>
          <w:bCs/>
          <w:sz w:val="32"/>
          <w:szCs w:val="32"/>
        </w:rPr>
        <w:t>、“三公”经费：</w:t>
      </w:r>
      <w:r>
        <w:rPr>
          <w:rFonts w:hint="eastAsia" w:ascii="仿宋_GB2312" w:hAnsi="宋体" w:eastAsia="仿宋_GB2312" w:cs="仿宋_GB2312"/>
          <w:sz w:val="32"/>
          <w:szCs w:val="32"/>
        </w:rPr>
        <w:t>纳入市级财政预决算管理“三公”经费，指部门使用财政拨款安排的因公出国（境）费、公务用车购置及运行费和公务接待费。其中，因公出国（境）费反映单位公务出国（境）的国际旅费、国外城市间交通费、住宿费、伙食费、培训费、公杂费等支出；公务用车购置及运行费反映反映单位公务用车车辆购置支出（含车辆购置税）及租用费、燃料费、维修费、过路过桥费、保险费、安全奖励费用等支出；公务接待费反映单位按规定开支的各类公务接待（含外宾接待）支出。</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r>
        <w:rPr>
          <w:rFonts w:hint="eastAsia" w:ascii="仿宋_GB2312" w:hAnsi="宋体" w:eastAsia="仿宋_GB2312" w:cs="仿宋_GB2312"/>
          <w:b/>
          <w:bCs/>
          <w:sz w:val="32"/>
          <w:szCs w:val="32"/>
          <w:lang w:eastAsia="zh-CN"/>
        </w:rPr>
        <w:t>十二</w:t>
      </w:r>
      <w:r>
        <w:rPr>
          <w:rFonts w:hint="eastAsia" w:ascii="仿宋_GB2312" w:hAnsi="宋体" w:eastAsia="仿宋_GB2312" w:cs="仿宋_GB2312"/>
          <w:b/>
          <w:bCs/>
          <w:sz w:val="32"/>
          <w:szCs w:val="32"/>
        </w:rPr>
        <w:t>、机关运行经费：</w:t>
      </w:r>
      <w:r>
        <w:rPr>
          <w:rFonts w:hint="eastAsia" w:ascii="仿宋_GB2312" w:hAnsi="宋体" w:eastAsia="仿宋_GB2312" w:cs="仿宋_GB2312"/>
          <w:sz w:val="32"/>
          <w:szCs w:val="32"/>
        </w:rPr>
        <w:t>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ind w:firstLine="31680" w:firstLineChars="200"/>
        <w:rPr>
          <w:rFonts w:ascii="仿宋_GB2312" w:hAnsi="宋体" w:eastAsia="仿宋_GB2312" w:cs="Times New Roman"/>
          <w:sz w:val="32"/>
          <w:szCs w:val="32"/>
        </w:rPr>
      </w:pPr>
    </w:p>
    <w:p>
      <w:pPr>
        <w:kinsoku w:val="0"/>
        <w:overflowPunct w:val="0"/>
        <w:autoSpaceDE w:val="0"/>
        <w:autoSpaceDN w:val="0"/>
        <w:adjustRightInd w:val="0"/>
        <w:snapToGrid w:val="0"/>
        <w:spacing w:line="360" w:lineRule="auto"/>
        <w:rPr>
          <w:rFonts w:ascii="仿宋_GB2312" w:hAnsi="宋体" w:eastAsia="仿宋_GB2312" w:cs="Times New Roman"/>
          <w:sz w:val="52"/>
          <w:szCs w:val="52"/>
          <w:highlight w:val="yellow"/>
        </w:rPr>
      </w:pPr>
    </w:p>
    <w:sectPr>
      <w:pgSz w:w="11906" w:h="16838"/>
      <w:pgMar w:top="1440" w:right="1531" w:bottom="1440" w:left="1587" w:header="850" w:footer="992" w:gutter="0"/>
      <w:pgNumType w:fmt="numberInDash"/>
      <w:cols w:space="720" w:num="1"/>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方正小标宋简体">
    <w:altName w:val="微软雅黑"/>
    <w:panose1 w:val="02010601030101010101"/>
    <w:charset w:val="86"/>
    <w:family w:val="auto"/>
    <w:pitch w:val="default"/>
    <w:sig w:usb0="00000001" w:usb1="080E0000" w:usb2="00000010" w:usb3="00000000" w:csb0="00040000" w:csb1="00000000"/>
  </w:font>
  <w:font w:name="隶书">
    <w:altName w:val="微软雅黑"/>
    <w:panose1 w:val="02010509060101010101"/>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rPr>
        <w:rFonts w:cs="Times New Roman"/>
      </w:rPr>
    </w:pPr>
    <w:r>
      <w:rPr>
        <w:rFonts w:ascii="Calibri" w:hAnsi="Calibri" w:eastAsia="宋体" w:cs="Calibri"/>
        <w:kern w:val="2"/>
        <w:sz w:val="18"/>
        <w:szCs w:val="18"/>
        <w:lang w:val="en-US" w:eastAsia="zh-CN" w:bidi="ar-SA"/>
      </w:rPr>
      <w:pict>
        <v:shape id="_x0000_s2049"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- 26 -</w:t>
                </w:r>
                <w:r>
                  <w:rPr>
                    <w:sz w:val="18"/>
                    <w:szCs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00626455">
    <w:nsid w:val="5971BE17"/>
    <w:multiLevelType w:val="singleLevel"/>
    <w:tmpl w:val="5971BE17"/>
    <w:lvl w:ilvl="0" w:tentative="1">
      <w:start w:val="1"/>
      <w:numFmt w:val="chineseCounting"/>
      <w:suff w:val="nothing"/>
      <w:lvlText w:val="%1、"/>
      <w:lvlJc w:val="left"/>
    </w:lvl>
  </w:abstractNum>
  <w:abstractNum w:abstractNumId="1500633794">
    <w:nsid w:val="5971DAC2"/>
    <w:multiLevelType w:val="singleLevel"/>
    <w:tmpl w:val="5971DAC2"/>
    <w:lvl w:ilvl="0" w:tentative="1">
      <w:start w:val="1"/>
      <w:numFmt w:val="chineseCounting"/>
      <w:suff w:val="nothing"/>
      <w:lvlText w:val="%1、"/>
      <w:lvlJc w:val="left"/>
      <w:pPr>
        <w:ind w:firstLine="420"/>
      </w:pPr>
      <w:rPr>
        <w:rFonts w:hint="eastAsia"/>
      </w:rPr>
    </w:lvl>
  </w:abstractNum>
  <w:abstractNum w:abstractNumId="1500635858">
    <w:nsid w:val="5971E2D2"/>
    <w:multiLevelType w:val="singleLevel"/>
    <w:tmpl w:val="5971E2D2"/>
    <w:lvl w:ilvl="0" w:tentative="1">
      <w:start w:val="1"/>
      <w:numFmt w:val="decimal"/>
      <w:suff w:val="nothing"/>
      <w:lvlText w:val="%1．"/>
      <w:lvlJc w:val="left"/>
      <w:pPr>
        <w:ind w:firstLine="400"/>
      </w:pPr>
      <w:rPr>
        <w:rFonts w:hint="default"/>
      </w:rPr>
    </w:lvl>
  </w:abstractNum>
  <w:abstractNum w:abstractNumId="1500638703">
    <w:nsid w:val="5971EDEF"/>
    <w:multiLevelType w:val="singleLevel"/>
    <w:tmpl w:val="5971EDEF"/>
    <w:lvl w:ilvl="0" w:tentative="1">
      <w:start w:val="1"/>
      <w:numFmt w:val="chineseCounting"/>
      <w:suff w:val="nothing"/>
      <w:lvlText w:val="（%1）"/>
      <w:lvlJc w:val="left"/>
      <w:pPr>
        <w:ind w:firstLine="420"/>
      </w:pPr>
      <w:rPr>
        <w:rFonts w:hint="eastAsia"/>
      </w:rPr>
    </w:lvl>
  </w:abstractNum>
  <w:abstractNum w:abstractNumId="1500635283">
    <w:nsid w:val="5971E093"/>
    <w:multiLevelType w:val="singleLevel"/>
    <w:tmpl w:val="5971E093"/>
    <w:lvl w:ilvl="0" w:tentative="1">
      <w:start w:val="1"/>
      <w:numFmt w:val="chineseCounting"/>
      <w:suff w:val="nothing"/>
      <w:lvlText w:val="（%1）"/>
      <w:lvlJc w:val="left"/>
      <w:pPr>
        <w:ind w:firstLine="420"/>
      </w:pPr>
      <w:rPr>
        <w:rFonts w:hint="eastAsia"/>
      </w:rPr>
    </w:lvl>
  </w:abstractNum>
  <w:abstractNum w:abstractNumId="1500634077">
    <w:nsid w:val="5971DBDD"/>
    <w:multiLevelType w:val="singleLevel"/>
    <w:tmpl w:val="5971DBDD"/>
    <w:lvl w:ilvl="0" w:tentative="1">
      <w:start w:val="1"/>
      <w:numFmt w:val="chineseCounting"/>
      <w:suff w:val="nothing"/>
      <w:lvlText w:val="（%1）"/>
      <w:lvlJc w:val="left"/>
      <w:pPr>
        <w:ind w:firstLine="420"/>
      </w:pPr>
      <w:rPr>
        <w:rFonts w:hint="eastAsia"/>
      </w:rPr>
    </w:lvl>
  </w:abstractNum>
  <w:abstractNum w:abstractNumId="1500626777">
    <w:nsid w:val="5971BF59"/>
    <w:multiLevelType w:val="singleLevel"/>
    <w:tmpl w:val="5971BF59"/>
    <w:lvl w:ilvl="0" w:tentative="1">
      <w:start w:val="1"/>
      <w:numFmt w:val="chineseCounting"/>
      <w:suff w:val="nothing"/>
      <w:lvlText w:val="%1、"/>
      <w:lvlJc w:val="left"/>
      <w:pPr>
        <w:ind w:firstLine="420"/>
      </w:pPr>
      <w:rPr>
        <w:rFonts w:hint="eastAsia"/>
      </w:rPr>
    </w:lvl>
  </w:abstractNum>
  <w:abstractNum w:abstractNumId="1500627347">
    <w:nsid w:val="5971C193"/>
    <w:multiLevelType w:val="singleLevel"/>
    <w:tmpl w:val="5971C193"/>
    <w:lvl w:ilvl="0" w:tentative="1">
      <w:start w:val="2"/>
      <w:numFmt w:val="chineseCounting"/>
      <w:suff w:val="nothing"/>
      <w:lvlText w:val="%1、"/>
      <w:lvlJc w:val="left"/>
    </w:lvl>
  </w:abstractNum>
  <w:num w:numId="1">
    <w:abstractNumId w:val="1500626455"/>
  </w:num>
  <w:num w:numId="2">
    <w:abstractNumId w:val="1500626777"/>
  </w:num>
  <w:num w:numId="3">
    <w:abstractNumId w:val="1500627347"/>
  </w:num>
  <w:num w:numId="4">
    <w:abstractNumId w:val="1500633794"/>
  </w:num>
  <w:num w:numId="5">
    <w:abstractNumId w:val="1500634077"/>
  </w:num>
  <w:num w:numId="6">
    <w:abstractNumId w:val="1500635283"/>
  </w:num>
  <w:num w:numId="7">
    <w:abstractNumId w:val="1500635858"/>
  </w:num>
  <w:num w:numId="8">
    <w:abstractNumId w:val="15006387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210"/>
  <w:drawingGridVerticalSpacing w:val="159"/>
  <w:displayHorizontalDrawingGridEvery w:val="1"/>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uiPriority w:val="99"/>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customStyle="1" w:styleId="5">
    <w:name w:val="p0"/>
    <w:basedOn w:val="1"/>
    <w:uiPriority w:val="0"/>
    <w:pPr>
      <w:widowControl/>
      <w:spacing w:line="365" w:lineRule="atLeast"/>
      <w:ind w:left="1"/>
      <w:textAlignment w:val="bottom"/>
    </w:pPr>
    <w:rPr>
      <w:kern w:val="0"/>
      <w:sz w:val="20"/>
      <w:szCs w:val="20"/>
    </w:rPr>
  </w:style>
  <w:style w:type="character" w:customStyle="1" w:styleId="6">
    <w:name w:val="Footer Char"/>
    <w:basedOn w:val="4"/>
    <w:link w:val="2"/>
    <w:uiPriority w:val="99"/>
    <w:rPr>
      <w:rFonts w:ascii="Calibri" w:hAnsi="Calibri" w:cs="Calibri"/>
      <w:sz w:val="18"/>
      <w:szCs w:val="18"/>
    </w:rPr>
  </w:style>
  <w:style w:type="character" w:customStyle="1" w:styleId="7">
    <w:name w:val="Header Char"/>
    <w:basedOn w:val="4"/>
    <w:link w:val="3"/>
    <w:uiPriority w:val="99"/>
    <w:rPr>
      <w:rFonts w:ascii="Calibri" w:hAnsi="Calibri" w:cs="Calibri"/>
      <w:sz w:val="18"/>
      <w:szCs w:val="18"/>
    </w:rPr>
  </w:style>
  <w:style w:type="character" w:customStyle="1" w:styleId="8">
    <w:name w:val="font31"/>
    <w:basedOn w:val="4"/>
    <w:uiPriority w:val="99"/>
    <w:rPr>
      <w:rFonts w:ascii="Arial" w:hAnsi="Arial" w:cs="Arial"/>
      <w:color w:val="000000"/>
      <w:sz w:val="16"/>
      <w:szCs w:val="16"/>
      <w:u w:val="none"/>
    </w:rPr>
  </w:style>
  <w:style w:type="character" w:customStyle="1" w:styleId="9">
    <w:name w:val="font01"/>
    <w:basedOn w:val="4"/>
    <w:uiPriority w:val="99"/>
    <w:rPr>
      <w:rFonts w:ascii="Arial" w:hAnsi="Arial" w:cs="Arial"/>
      <w:color w:val="000000"/>
      <w:sz w:val="16"/>
      <w:szCs w:val="16"/>
      <w:u w:val="none"/>
    </w:rPr>
  </w:style>
  <w:style w:type="character" w:customStyle="1" w:styleId="10">
    <w:name w:val="font41"/>
    <w:basedOn w:val="4"/>
    <w:uiPriority w:val="99"/>
    <w:rPr>
      <w:rFonts w:ascii="宋体" w:hAnsi="宋体" w:eastAsia="宋体" w:cs="宋体"/>
      <w:color w:val="000000"/>
      <w:sz w:val="16"/>
      <w:szCs w:val="16"/>
      <w:u w:val="none"/>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customXml" Target="../customXml/item1.xml"/><Relationship Id="rId8"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28</Pages>
  <Words>1488</Words>
  <Characters>8483</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wsj</dc:creator>
  <cp:lastModifiedBy>liwan</cp:lastModifiedBy>
  <cp:lastPrinted>2017-07-25T02:47:00Z</cp:lastPrinted>
  <dcterms:modified xsi:type="dcterms:W3CDTF">2017-09-18T08:23:10Z</dcterms:modified>
  <dc:title>李万办事处</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