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52"/>
          <w:szCs w:val="52"/>
        </w:rPr>
      </w:pPr>
    </w:p>
    <w:p>
      <w:pPr>
        <w:jc w:val="center"/>
        <w:rPr>
          <w:rFonts w:hint="eastAsia" w:ascii="黑体" w:hAnsi="黑体" w:eastAsia="黑体" w:cs="Times New Roman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sz w:val="52"/>
          <w:szCs w:val="52"/>
          <w:lang w:eastAsia="zh-CN"/>
        </w:rPr>
        <w:t>民政服务中心</w:t>
      </w:r>
    </w:p>
    <w:p>
      <w:pPr>
        <w:jc w:val="center"/>
        <w:rPr>
          <w:rFonts w:ascii="隶书" w:hAnsi="隶书" w:eastAsia="隶书" w:cs="Times New Roman"/>
          <w:sz w:val="52"/>
          <w:szCs w:val="52"/>
        </w:rPr>
        <w:sectPr>
          <w:pgSz w:w="11906" w:h="16838"/>
          <w:pgMar w:top="1440" w:right="1531" w:bottom="1440" w:left="1587" w:header="850" w:footer="992" w:gutter="0"/>
          <w:pgNumType w:fmt="numberInDash" w:start="1"/>
          <w:cols w:space="720" w:num="1"/>
          <w:docGrid w:type="lines" w:linePitch="317"/>
        </w:sectPr>
      </w:pPr>
      <w:r>
        <w:rPr>
          <w:rFonts w:ascii="隶书" w:hAnsi="隶书" w:eastAsia="隶书" w:cs="隶书"/>
          <w:sz w:val="52"/>
          <w:szCs w:val="52"/>
        </w:rPr>
        <w:t>2016</w:t>
      </w:r>
      <w:r>
        <w:rPr>
          <w:rFonts w:hint="eastAsia" w:ascii="隶书" w:hAnsi="隶书" w:eastAsia="隶书" w:cs="隶书"/>
          <w:sz w:val="52"/>
          <w:szCs w:val="52"/>
        </w:rPr>
        <w:t>年度部门决算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目　　录</w:t>
      </w:r>
    </w:p>
    <w:p>
      <w:pPr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第一部分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民政服务中心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概况</w:t>
      </w:r>
    </w:p>
    <w:p>
      <w:pPr>
        <w:numPr>
          <w:ilvl w:val="0"/>
          <w:numId w:val="1"/>
        </w:num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主要职责</w:t>
      </w:r>
    </w:p>
    <w:p>
      <w:pPr>
        <w:numPr>
          <w:ilvl w:val="0"/>
          <w:numId w:val="1"/>
        </w:num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部门决算单位构成</w:t>
      </w:r>
    </w:p>
    <w:p>
      <w:pPr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第二部分　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民政服务中心</w:t>
      </w:r>
      <w:r>
        <w:rPr>
          <w:rFonts w:ascii="黑体" w:hAnsi="黑体" w:eastAsia="黑体" w:cs="黑体"/>
          <w:color w:val="auto"/>
          <w:sz w:val="32"/>
          <w:szCs w:val="32"/>
        </w:rPr>
        <w:t>2016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年度部门决算表</w:t>
      </w:r>
    </w:p>
    <w:p>
      <w:p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一、收入支出决算总表</w:t>
      </w:r>
    </w:p>
    <w:p>
      <w:p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二、收入决算表</w:t>
      </w:r>
    </w:p>
    <w:p>
      <w:p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三、支出决算表</w:t>
      </w:r>
    </w:p>
    <w:p>
      <w:p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四、财政拨款收入支出决算总表</w:t>
      </w:r>
    </w:p>
    <w:p>
      <w:p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五、一般公共预算财政拨款支出决算表</w:t>
      </w:r>
    </w:p>
    <w:p>
      <w:p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六、一般公共预算财政拨款基本支出决算表</w:t>
      </w:r>
    </w:p>
    <w:p>
      <w:p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七、一般公共预算财政拨款“三公”经费支出决算表</w:t>
      </w:r>
    </w:p>
    <w:p>
      <w:pPr>
        <w:jc w:val="left"/>
        <w:rPr>
          <w:rFonts w:ascii="宋体" w:cs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八、政府性基金预算财政拨款收入支出决算表</w:t>
      </w:r>
    </w:p>
    <w:p>
      <w:pPr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第三部分　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民政服务中心</w:t>
      </w:r>
      <w:r>
        <w:rPr>
          <w:rFonts w:ascii="黑体" w:hAnsi="黑体" w:eastAsia="黑体" w:cs="黑体"/>
          <w:color w:val="auto"/>
          <w:sz w:val="32"/>
          <w:szCs w:val="32"/>
        </w:rPr>
        <w:t>2016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年度部门决算情况说明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hint="eastAsia" w:ascii="隶书" w:hAnsi="隶书" w:eastAsia="隶书" w:cs="隶书"/>
          <w:sz w:val="48"/>
          <w:szCs w:val="48"/>
        </w:rPr>
      </w:pPr>
    </w:p>
    <w:p>
      <w:pPr>
        <w:jc w:val="center"/>
        <w:outlineLvl w:val="0"/>
        <w:rPr>
          <w:rFonts w:ascii="隶书" w:hAnsi="隶书" w:eastAsia="隶书" w:cs="Times New Roman"/>
          <w:b/>
          <w:bCs/>
          <w:sz w:val="48"/>
          <w:szCs w:val="48"/>
        </w:rPr>
        <w:sectPr>
          <w:footerReference r:id="rId4" w:type="default"/>
          <w:pgSz w:w="11906" w:h="16838"/>
          <w:pgMar w:top="1440" w:right="1531" w:bottom="1440" w:left="1587" w:header="850" w:footer="992" w:gutter="0"/>
          <w:pgNumType w:fmt="numberInDash" w:start="1"/>
          <w:cols w:space="720" w:num="1"/>
          <w:docGrid w:type="lines" w:linePitch="317"/>
        </w:sectPr>
      </w:pPr>
      <w:r>
        <w:rPr>
          <w:rFonts w:hint="eastAsia" w:ascii="隶书" w:hAnsi="隶书" w:eastAsia="隶书" w:cs="隶书"/>
          <w:b/>
          <w:bCs/>
          <w:sz w:val="48"/>
          <w:szCs w:val="48"/>
        </w:rPr>
        <w:t>第一部分　　</w:t>
      </w:r>
      <w:r>
        <w:rPr>
          <w:rFonts w:hint="eastAsia" w:ascii="隶书" w:hAnsi="隶书" w:eastAsia="隶书" w:cs="隶书"/>
          <w:b/>
          <w:bCs/>
          <w:sz w:val="48"/>
          <w:szCs w:val="48"/>
          <w:lang w:eastAsia="zh-CN"/>
        </w:rPr>
        <w:t>民政服务中心</w:t>
      </w:r>
      <w:r>
        <w:rPr>
          <w:rFonts w:hint="eastAsia" w:ascii="隶书" w:hAnsi="隶书" w:eastAsia="隶书" w:cs="隶书"/>
          <w:b/>
          <w:bCs/>
          <w:sz w:val="48"/>
          <w:szCs w:val="48"/>
        </w:rPr>
        <w:t>概况</w:t>
      </w:r>
    </w:p>
    <w:p>
      <w:pPr>
        <w:numPr>
          <w:ilvl w:val="0"/>
          <w:numId w:val="2"/>
        </w:numPr>
        <w:spacing w:line="360" w:lineRule="auto"/>
        <w:ind w:firstLine="31680" w:firstLineChars="200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（一）贯彻执行国家关于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"http://www.baidu.com/s?wd=%E6%B0%91%E6%94%BF%E5%B7%A5%E4%BD%9C&amp;hl_tag=textlink&amp;tn=SE_hldp01350_v6v6zkg6"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民政工作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的方针、政策和法律、法规，研究制定全区民政事业中、长期规划和年度计划并组织实施和监督检查。 　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kern w:val="0"/>
          <w:sz w:val="32"/>
          <w:szCs w:val="32"/>
        </w:rPr>
        <w:t>负责拥军优属、优待抚恤和烈士褒扬工作，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"http://www.baidu.com/s?wd=%E9%9D%A9%E5%91%BD%E7%83%88%E5%A3%AB&amp;hl_tag=textlink&amp;tn=SE_hldp01350_v6v6zkg6"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革命烈士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审核、报批、褒扬和革命伤残人员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"http://www.baidu.com/s?wd=%E6%AE%8B%E5%BA%9F%E7%AD%89%E7%BA%A7&amp;hl_tag=textlink&amp;tn=SE_hldp01350_v6v6zkg6"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残废等级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评定的审核报批工作。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（三）组织救灾工作，掌握和发布灾情，拨放救灾款物；组织接收、分配救灾捐赠；检查、监督救灾款物使用情况，指导灾区开展生产自救活动。 　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负责城乡社会救济，组织实施城乡居民最低生活保障和城乡医疗救助工作，指导敬老院建设和五保供养工作。组织开展经常性社会捐助活动。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（五）制定并组织实施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"http://www.baidu.com/s?wd=%E7%A4%BE%E4%BC%9A%E7%A6%8F%E5%88%A9&amp;hl_tag=textlink&amp;tn=SE_hldp01350_v6v6zkg6"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社会福利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事业发展规划，指导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"http://www.baidu.com/s?wd=%E7%A4%BE%E4%BC%9A%E7%A6%8F%E5%88%A9%E4%BA%8B%E4%B8%9A%E5%8D%95%E4%BD%8D&amp;hl_tag=textlink&amp;tn=SE_hldp01350_v6v6zkg6"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社会福利事业单位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管理和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"http://www.baidu.com/s?wd=%E7%A4%BE%E5%8C%BA%E6%9C%8D%E5%8A%A1&amp;hl_tag=textlink&amp;tn=SE_hldp01350_v6v6zkg6"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社区服务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工作，建立和完善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"http://www.baidu.com/s?wd=%E7%A4%BE%E4%BC%9A%E7%A6%8F%E5%88%A9&amp;hl_tag=textlink&amp;tn=SE_hldp01350_v6v6zkg6"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社会福利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服务体系。 　　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（六）指导老年人和残疾人的权益保护工作，会同有关部门制定并监督实施残疾人就业和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"http://www.baidu.com/s?wd=%E7%A4%BE%E4%BC%9A%E7%A6%8F%E5%88%A9&amp;hl_tag=textlink&amp;tn=SE_hldp01350_v6v6zkg6"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社会福利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生产的扶持保护政策，指导社会福利生产，审批和管理辖区内社会福利企业。 　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（七）负责城乡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"http://www.baidu.com/s?wd=%E5%9F%BA%E5%B1%82%E6%94%BF%E6%9D%83&amp;hl_tag=textlink&amp;tn=SE_hldp01350_v6v6zkg6"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基层政权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建设和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"http://www.baidu.com/s?wd=%E5%9F%BA%E5%B1%82%E7%BE%A4%E4%BC%97%E8%87%AA%E6%B2%BB%E7%BB%84%E7%BB%87&amp;hl_tag=textlink&amp;tn=SE_hldp01350_v6v6zkg6"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基层群众自治组织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建设，开展村民、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"http://www.baidu.com/s?wd=%E5%B1%85%E6%B0%91%E8%87%AA%E6%B2%BB&amp;hl_tag=textlink&amp;tn=SE_hldp01350_v6v6zkg6"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居民自治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活动。 　　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（八）负责行政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"http://www.baidu.com/s?wd=%E5%8C%BA%E5%9F%9F%E8%A7%84%E5%88%92&amp;hl_tag=textlink&amp;tn=SE_hldp01350_v6v6zkg6"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区域规划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，负责区、乡镇、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"http://www.baidu.com/s?wd=%E8%A1%97%E9%81%93%E5%8A%9E%E4%BA%8B%E5%A4%84&amp;hl_tag=textlink&amp;tn=SE_hldp01350_v6v6zkg6"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街道办事处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"http://www.baidu.com/s?wd=%E8%A1%8C%E6%94%BF%E5%8C%BA%E5%9F%9F&amp;hl_tag=textlink&amp;tn=SE_hldp01350_v6v6zkg6"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行政区域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的设立、撤销、更名和界线变更的审核报批工作。 　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（九）负责全区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"http://www.baidu.com/s?wd=%E8%A1%8C%E6%94%BF%E5%8C%BA%E5%88%92&amp;hl_tag=textlink&amp;tn=SE_hldp01350_v6v6zkg6"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行政区划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名称和重要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"http://www.baidu.com/s?wd=%E8%87%AA%E7%84%B6%E5%9C%B0%E7%90%86&amp;hl_tag=textlink&amp;tn=SE_hldp01350_v6v6zkg6"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自然地理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实体的命名、更名和地名标志的规划、设立管理等工作。 　　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（十）拟订社团管理法规并组织实施；负责全区性社团组织审批登记和管理工作；指导乡镇、街道办事处、区社团管理工作。 　　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（十一）主管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"http://www.baidu.com/s?wd=%E5%A9%9A%E5%A7%BB%E7%99%BB%E8%AE%B0&amp;hl_tag=textlink&amp;tn=SE_hldp01350_v6v6zkg6"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婚姻登记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和儿童收养工作；负责殡葬和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"http://www.baidu.com/s?wd=%E5%85%AC%E5%A2%93&amp;hl_tag=textlink&amp;tn=SE_hldp01350_v6v6zkg6"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公墓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事业管理工作。 　</w:t>
      </w:r>
    </w:p>
    <w:p>
      <w:pPr>
        <w:pStyle w:val="4"/>
        <w:spacing w:line="3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（十二）负责辖区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"http://www.baidu.com/s?wd=%E6%B5%81%E6%B5%AA%E4%B9%9E%E8%AE%A8%E4%BA%BA%E5%91%98&amp;hl_tag=textlink&amp;tn=SE_hldp01350_v6v6zkg6"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流浪乞讨人员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的收容、管理、教育 、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"http://www.baidu.com/s?wd=%E9%81%A3%E9%80%81&amp;hl_tag=textlink&amp;tn=SE_hldp01350_v6v6zkg6"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遣送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工作；指导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"http://www.baidu.com/s?wd=%E6%94%B6%E5%AE%B9%E9%81%A3%E9%80%81&amp;hl_tag=textlink&amp;tn=SE_hldp01350_v6v6zkg6" \t "_blank"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收容遣送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站的建设和管理工作。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（十三）指导乡镇街道办事处社区建设工作，开展社区服务，推进社区居民自治。</w:t>
      </w:r>
    </w:p>
    <w:p>
      <w:pPr>
        <w:widowControl/>
        <w:spacing w:line="360" w:lineRule="auto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（十四）承办区党工委管委会交办的其他事项。</w:t>
      </w:r>
    </w:p>
    <w:p>
      <w:pPr>
        <w:numPr>
          <w:ilvl w:val="0"/>
          <w:numId w:val="3"/>
        </w:numPr>
        <w:spacing w:line="360" w:lineRule="auto"/>
        <w:ind w:firstLine="31680" w:firstLineChars="200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部门决算单位构成</w:t>
      </w:r>
    </w:p>
    <w:p>
      <w:pPr>
        <w:spacing w:line="360" w:lineRule="auto"/>
        <w:ind w:firstLine="3168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</w:rPr>
        <w:t>纳入</w:t>
      </w:r>
      <w:r>
        <w:rPr>
          <w:rFonts w:hint="eastAsia" w:ascii="仿宋_GB2312" w:hAnsi="楷体_GB2312" w:eastAsia="仿宋_GB2312" w:cs="楷体_GB2312"/>
          <w:sz w:val="32"/>
          <w:szCs w:val="32"/>
        </w:rPr>
        <w:t>民政服务中心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年度部门决算编制范围的单位包括：</w:t>
      </w:r>
    </w:p>
    <w:p>
      <w:pPr>
        <w:numPr>
          <w:ilvl w:val="0"/>
          <w:numId w:val="4"/>
        </w:numPr>
        <w:spacing w:line="360" w:lineRule="auto"/>
        <w:ind w:firstLine="3168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民政服务中心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Times New Roman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</w:rPr>
        <w:t>第二部分</w:t>
      </w:r>
    </w:p>
    <w:p>
      <w:pPr>
        <w:jc w:val="center"/>
        <w:rPr>
          <w:rFonts w:hint="eastAsia" w:ascii="隶书" w:hAnsi="隶书" w:eastAsia="隶书" w:cs="隶书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  <w:lang w:eastAsia="zh-CN"/>
        </w:rPr>
        <w:t>民政服务中心</w:t>
      </w:r>
      <w:r>
        <w:rPr>
          <w:rFonts w:hint="eastAsia" w:ascii="隶书" w:hAnsi="隶书" w:eastAsia="隶书" w:cs="隶书"/>
          <w:sz w:val="48"/>
          <w:szCs w:val="48"/>
        </w:rPr>
        <w:t>2016年度部门决算表</w:t>
      </w:r>
    </w:p>
    <w:p>
      <w:pPr>
        <w:spacing w:line="360" w:lineRule="auto"/>
        <w:jc w:val="both"/>
        <w:rPr>
          <w:rFonts w:ascii="隶书" w:hAnsi="隶书" w:eastAsia="隶书" w:cs="Times New Roman"/>
          <w:sz w:val="52"/>
          <w:szCs w:val="52"/>
        </w:rPr>
      </w:pPr>
    </w:p>
    <w:p>
      <w:pPr>
        <w:spacing w:line="360" w:lineRule="auto"/>
        <w:jc w:val="both"/>
        <w:rPr>
          <w:rFonts w:hint="eastAsia" w:ascii="隶书" w:hAnsi="隶书" w:eastAsia="隶书" w:cs="Times New Roman"/>
          <w:sz w:val="52"/>
          <w:szCs w:val="52"/>
          <w:lang w:eastAsia="zh-CN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/>
        </w:sectPr>
      </w:pPr>
      <w:r>
        <w:rPr>
          <w:rFonts w:hint="eastAsia" w:ascii="隶书" w:hAnsi="隶书" w:eastAsia="隶书" w:cs="Times New Roman"/>
          <w:sz w:val="52"/>
          <w:szCs w:val="52"/>
          <w:lang w:val="en-US" w:eastAsia="zh-CN"/>
        </w:rPr>
        <w:t xml:space="preserve">            </w:t>
      </w:r>
      <w:r>
        <w:rPr>
          <w:rFonts w:hint="eastAsia" w:ascii="隶书" w:hAnsi="隶书" w:eastAsia="隶书" w:cs="Times New Roman"/>
          <w:sz w:val="52"/>
          <w:szCs w:val="52"/>
          <w:lang w:eastAsia="zh-CN"/>
        </w:rPr>
        <w:t>（见附件）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Times New Roman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</w:rPr>
        <w:t>第三部分</w:t>
      </w:r>
    </w:p>
    <w:p>
      <w:pPr>
        <w:jc w:val="center"/>
        <w:rPr>
          <w:rFonts w:ascii="隶书" w:hAnsi="隶书" w:eastAsia="隶书" w:cs="Times New Roman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  <w:lang w:eastAsia="zh-CN"/>
        </w:rPr>
        <w:t>民政服务中心</w:t>
      </w:r>
    </w:p>
    <w:p>
      <w:pPr>
        <w:jc w:val="center"/>
        <w:rPr>
          <w:rFonts w:ascii="隶书" w:hAnsi="隶书" w:eastAsia="隶书" w:cs="Times New Roman"/>
          <w:sz w:val="48"/>
          <w:szCs w:val="48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/>
        </w:sectPr>
      </w:pPr>
      <w:r>
        <w:rPr>
          <w:rFonts w:ascii="隶书" w:hAnsi="隶书" w:eastAsia="隶书" w:cs="隶书"/>
          <w:sz w:val="48"/>
          <w:szCs w:val="48"/>
        </w:rPr>
        <w:t>2016</w:t>
      </w:r>
      <w:r>
        <w:rPr>
          <w:rFonts w:hint="eastAsia" w:ascii="隶书" w:hAnsi="隶书" w:eastAsia="隶书" w:cs="隶书"/>
          <w:sz w:val="48"/>
          <w:szCs w:val="48"/>
        </w:rPr>
        <w:t>年度部门决算情况说明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关于收入支出决算总体情况说明</w:t>
      </w:r>
    </w:p>
    <w:p>
      <w:pPr>
        <w:adjustRightInd w:val="0"/>
        <w:snapToGrid w:val="0"/>
        <w:spacing w:line="360" w:lineRule="auto"/>
        <w:ind w:firstLine="31680" w:firstLineChars="200"/>
        <w:rPr>
          <w:rFonts w:hint="eastAsia" w:ascii="仿宋_GB2312" w:hAnsi="宋体" w:eastAsia="仿宋_GB2312" w:cs="仿宋_GB2312"/>
          <w:color w:val="FF6600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年度收入总计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4498.34</w:t>
      </w:r>
      <w:r>
        <w:rPr>
          <w:rFonts w:hint="eastAsia" w:ascii="仿宋_GB2312" w:hAnsi="宋体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4541.65</w:t>
      </w:r>
      <w:r>
        <w:rPr>
          <w:rFonts w:hint="eastAsia" w:ascii="仿宋_GB2312" w:hAnsi="宋体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与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2015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年相比，</w:t>
      </w:r>
      <w:r>
        <w:rPr>
          <w:rFonts w:hint="eastAsia" w:ascii="仿宋_GB2312" w:hAnsi="宋体" w:eastAsia="仿宋_GB2312" w:cs="仿宋_GB2312"/>
          <w:sz w:val="32"/>
          <w:szCs w:val="32"/>
        </w:rPr>
        <w:t>收入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增加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1994.65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79.67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支总增加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2248.51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98.05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关于收入决算情况说明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年度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收入合计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4498.34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万元，其中：财政拨款收入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4498.34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ascii="仿宋_GB2312" w:hAnsi="Times New Roman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关于支出决算情况说明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年度支出合计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4541.65</w:t>
      </w:r>
      <w:r>
        <w:rPr>
          <w:rFonts w:hint="eastAsia" w:ascii="仿宋_GB2312" w:hAnsi="宋体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53.68</w:t>
      </w:r>
      <w:r>
        <w:rPr>
          <w:rFonts w:hint="eastAsia" w:ascii="仿宋_GB2312" w:hAnsi="宋体" w:eastAsia="仿宋_GB2312" w:cs="仿宋_GB2312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1.19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；项目支出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4487.97</w:t>
      </w:r>
      <w:r>
        <w:rPr>
          <w:rFonts w:hint="eastAsia" w:ascii="仿宋_GB2312" w:hAnsi="宋体" w:eastAsia="仿宋_GB2312" w:cs="仿宋_GB2312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98.81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关于财政拨款收入支出决算总体情况说明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年财政拨款收支总决算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9039.99</w:t>
      </w:r>
      <w:r>
        <w:rPr>
          <w:rFonts w:hint="eastAsia" w:ascii="仿宋_GB2312" w:hAnsi="宋体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关于一般公共预算财政拨款支出决算情况说明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firstLine="3168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财政拨款支出决算总体情况。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年一般公共预算财政拨款支出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4449.57</w:t>
      </w:r>
      <w:r>
        <w:rPr>
          <w:rFonts w:hint="eastAsia" w:ascii="仿宋_GB2312" w:hAnsi="宋体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占支出合计的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firstLine="3168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财政拨款支出决算结构情况。</w:t>
      </w:r>
    </w:p>
    <w:p>
      <w:pPr>
        <w:adjustRightInd w:val="0"/>
        <w:snapToGrid w:val="0"/>
        <w:spacing w:line="360" w:lineRule="auto"/>
        <w:ind w:firstLine="31680" w:firstLineChars="200"/>
        <w:rPr>
          <w:rFonts w:hint="eastAsia" w:ascii="仿宋_GB2312" w:hAnsi="宋体" w:eastAsia="仿宋_GB2312" w:cs="仿宋_GB2312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一般公共预算财政拨款支出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4449.57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万元，主要用于以下方面：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0.07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社会保障和就业（类）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4227.39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95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医疗卫生与计划生育（类）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219.19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4.93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%。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color w:val="FF6600"/>
          <w:sz w:val="32"/>
          <w:szCs w:val="32"/>
        </w:rPr>
      </w:pPr>
    </w:p>
    <w:p>
      <w:pPr>
        <w:numPr>
          <w:ilvl w:val="0"/>
          <w:numId w:val="6"/>
        </w:numPr>
        <w:adjustRightInd w:val="0"/>
        <w:snapToGrid w:val="0"/>
        <w:spacing w:line="360" w:lineRule="auto"/>
        <w:ind w:firstLine="3168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财政拨款支出决算具体情况。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2016年度一般公共预算财政拨款支出年初预算为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4498.34</w:t>
      </w:r>
      <w:r>
        <w:rPr>
          <w:rFonts w:hint="eastAsia" w:ascii="仿宋_GB2312" w:hAnsi="宋体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4449.57</w:t>
      </w:r>
      <w:r>
        <w:rPr>
          <w:rFonts w:hint="eastAsia" w:ascii="仿宋_GB2312" w:hAnsi="宋体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99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关于一般公共预算财政拨款基本支出决算情况说明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年一般公共预算财政拨款基本支出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53.68</w:t>
      </w:r>
      <w:r>
        <w:rPr>
          <w:rFonts w:hint="eastAsia" w:ascii="仿宋_GB2312" w:hAnsi="宋体" w:eastAsia="仿宋_GB2312" w:cs="仿宋_GB2312"/>
          <w:sz w:val="32"/>
          <w:szCs w:val="32"/>
        </w:rPr>
        <w:t>万元，其中：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  <w:lang w:val="en-US" w:eastAsia="zh-CN"/>
        </w:rPr>
        <w:t>46.35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仿宋_GB2312"/>
          <w:sz w:val="32"/>
          <w:szCs w:val="32"/>
        </w:rPr>
        <w:t>，主要包括：基本工资、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其他社会保障缴费、</w:t>
      </w:r>
      <w:r>
        <w:rPr>
          <w:rFonts w:hint="eastAsia" w:ascii="仿宋_GB2312" w:hAnsi="宋体" w:eastAsia="仿宋_GB2312" w:cs="仿宋_GB2312"/>
          <w:sz w:val="32"/>
          <w:szCs w:val="32"/>
        </w:rPr>
        <w:t>伙食补助费、绩效工资  机关事业单位基本养老保险缴费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、生活补助、奖励金、 住房公积金、其他对个人和家庭的补助支出</w:t>
      </w:r>
      <w:r>
        <w:rPr>
          <w:rFonts w:hint="eastAsia" w:ascii="仿宋_GB2312" w:hAnsi="宋体" w:eastAsia="仿宋_GB2312" w:cs="仿宋_GB2312"/>
          <w:sz w:val="32"/>
          <w:szCs w:val="32"/>
        </w:rPr>
        <w:t>；</w:t>
      </w:r>
      <w:r>
        <w:rPr>
          <w:rFonts w:hint="eastAsia" w:ascii="仿宋_GB2312" w:hAnsi="Times New Roman" w:eastAsia="仿宋_GB2312" w:cs="仿宋_GB2312"/>
          <w:b/>
          <w:bCs/>
          <w:spacing w:val="-1"/>
          <w:kern w:val="0"/>
          <w:sz w:val="32"/>
          <w:szCs w:val="32"/>
        </w:rPr>
        <w:t>公用经费</w:t>
      </w:r>
      <w:r>
        <w:rPr>
          <w:rFonts w:hint="eastAsia" w:ascii="仿宋_GB2312" w:hAnsi="Times New Roman" w:eastAsia="仿宋_GB2312" w:cs="仿宋_GB2312"/>
          <w:spacing w:val="-2"/>
          <w:kern w:val="0"/>
          <w:sz w:val="32"/>
          <w:szCs w:val="32"/>
          <w:lang w:val="en-US" w:eastAsia="zh-CN"/>
        </w:rPr>
        <w:t>7.33</w:t>
      </w:r>
      <w:r>
        <w:rPr>
          <w:rFonts w:hint="eastAsia" w:ascii="仿宋_GB2312" w:hAnsi="Times New Roman" w:eastAsia="仿宋_GB2312" w:cs="仿宋_GB2312"/>
          <w:spacing w:val="-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仿宋_GB2312"/>
          <w:sz w:val="32"/>
          <w:szCs w:val="32"/>
        </w:rPr>
        <w:t>，主要包括：办公费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、水费、邮电费、 取暖费、  差旅费、维修(护)费、 公务接待费、工会经费、公务用车运行维护费、 其他商品和服务支出。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关于一般公共预算财政拨款“三公”经费支出决算情况说明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“三公”经费财政拨款支出决算总体情况说明。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年度“三公”经费财政拨款支出预算为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宋体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1.35</w:t>
      </w:r>
      <w:r>
        <w:rPr>
          <w:rFonts w:hint="eastAsia" w:ascii="仿宋_GB2312" w:hAnsi="宋体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58.7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，其中：公务用车购置及运行费支出决算为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1.19</w:t>
      </w:r>
      <w:r>
        <w:rPr>
          <w:rFonts w:hint="eastAsia" w:ascii="仿宋_GB2312" w:hAnsi="宋体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51.73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6.52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年度“三公”经费支出决算数小于预算数的主要原因是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响应中央“八项规定”，厉行节俭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年度“三公”经费财政拨款支出决算数比</w:t>
      </w:r>
      <w:r>
        <w:rPr>
          <w:rFonts w:ascii="仿宋_GB2312" w:hAnsi="宋体" w:eastAsia="仿宋_GB2312" w:cs="仿宋_GB2312"/>
          <w:sz w:val="32"/>
          <w:szCs w:val="32"/>
        </w:rPr>
        <w:t>2015</w:t>
      </w:r>
      <w:r>
        <w:rPr>
          <w:rFonts w:hint="eastAsia" w:ascii="仿宋_GB2312" w:hAnsi="宋体" w:eastAsia="仿宋_GB2312" w:cs="仿宋_GB2312"/>
          <w:sz w:val="32"/>
          <w:szCs w:val="32"/>
        </w:rPr>
        <w:t>年减少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0.0832</w:t>
      </w:r>
      <w:r>
        <w:rPr>
          <w:rFonts w:hint="eastAsia" w:ascii="仿宋_GB2312" w:hAnsi="宋体" w:eastAsia="仿宋_GB2312" w:cs="仿宋_GB2312"/>
          <w:sz w:val="32"/>
          <w:szCs w:val="32"/>
        </w:rPr>
        <w:t>万元，下降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5.81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，其中：公务用车购置及运行费支出决算减少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0.1330</w:t>
      </w:r>
      <w:r>
        <w:rPr>
          <w:rFonts w:hint="eastAsia" w:ascii="仿宋_GB2312" w:hAnsi="宋体" w:eastAsia="仿宋_GB2312" w:cs="仿宋_GB2312"/>
          <w:sz w:val="32"/>
          <w:szCs w:val="32"/>
        </w:rPr>
        <w:t>万元，下降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10.03</w:t>
      </w:r>
      <w:r>
        <w:rPr>
          <w:rFonts w:hint="eastAsia" w:ascii="仿宋_GB2312" w:hAnsi="宋体" w:eastAsia="仿宋_GB2312" w:cs="仿宋_GB2312"/>
          <w:sz w:val="32"/>
          <w:szCs w:val="32"/>
        </w:rPr>
        <w:t>%；公务接待费支出决算增加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0.0498</w:t>
      </w:r>
      <w:r>
        <w:rPr>
          <w:rFonts w:hint="eastAsia" w:ascii="仿宋_GB2312" w:hAnsi="宋体" w:eastAsia="仿宋_GB2312" w:cs="仿宋_GB2312"/>
          <w:sz w:val="32"/>
          <w:szCs w:val="32"/>
        </w:rPr>
        <w:t>万元，增长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47.43</w:t>
      </w:r>
      <w:r>
        <w:rPr>
          <w:rFonts w:hint="eastAsia" w:ascii="仿宋_GB2312" w:hAnsi="宋体" w:eastAsia="仿宋_GB2312" w:cs="仿宋_GB2312"/>
          <w:sz w:val="32"/>
          <w:szCs w:val="32"/>
        </w:rPr>
        <w:t>%。公务用车运行费支出增加的主要原因是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低保复核审验。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“三公”经费财政拨款支出决算具体情况说明。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sz w:val="32"/>
          <w:szCs w:val="32"/>
        </w:rPr>
        <w:t>年度“三公”经费财政拨款支出决算中，公务用车购置及运行费支出决算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1.19</w:t>
      </w:r>
      <w:r>
        <w:rPr>
          <w:rFonts w:hint="eastAsia" w:ascii="仿宋_GB2312" w:hAnsi="宋体" w:eastAsia="仿宋_GB2312" w:cs="仿宋_GB2312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51.73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；公务接待费支出决算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仿宋_GB2312"/>
          <w:sz w:val="32"/>
          <w:szCs w:val="32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6.52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firstLine="31680" w:firstLineChars="200"/>
        <w:outlineLvl w:val="1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关于政府性基金预算财政拨款支出决算情况说明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168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sz w:val="32"/>
          <w:szCs w:val="32"/>
        </w:rPr>
        <w:t>2016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年度政府性基金预算财政拨款支出年初预算为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45.91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92.07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（部分资金来源上年度转结余）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，完成年初预算的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。主要用于彩票公益金及对应专项债务收入安排的支出。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</w:rPr>
        <w:t>九、其他重要事项的情况说明</w:t>
      </w:r>
    </w:p>
    <w:p>
      <w:pPr>
        <w:widowControl w:val="0"/>
        <w:wordWrap/>
        <w:autoSpaceDE w:val="0"/>
        <w:autoSpaceDN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KaiTi_GB2312" w:hAnsi="KaiTi_GB2312" w:eastAsia="KaiTi_GB2312"/>
          <w:sz w:val="32"/>
        </w:rPr>
      </w:pPr>
      <w:r>
        <w:rPr>
          <w:rFonts w:hint="eastAsia" w:ascii="KaiTi_GB2312" w:hAnsi="KaiTi_GB2312" w:eastAsia="KaiTi_GB2312"/>
          <w:sz w:val="32"/>
        </w:rPr>
        <w:t>（一）政府采购支出情况。</w:t>
      </w:r>
    </w:p>
    <w:p>
      <w:pPr>
        <w:widowControl w:val="0"/>
        <w:wordWrap/>
        <w:autoSpaceDE w:val="0"/>
        <w:autoSpaceDN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2016 年度政府采购支出总额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57.74</w:t>
      </w:r>
      <w:r>
        <w:rPr>
          <w:rFonts w:hint="eastAsia" w:ascii="FangSong_GB2312" w:hAnsi="FangSong_GB2312" w:eastAsia="FangSong_GB2312"/>
          <w:sz w:val="32"/>
        </w:rPr>
        <w:t>万元，其中：政府采</w:t>
      </w:r>
    </w:p>
    <w:p>
      <w:pPr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购货物支出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57.74</w:t>
      </w:r>
      <w:r>
        <w:rPr>
          <w:rFonts w:hint="eastAsia" w:ascii="FangSong_GB2312" w:hAnsi="FangSong_GB2312" w:eastAsia="FangSong_GB2312"/>
          <w:sz w:val="32"/>
        </w:rPr>
        <w:t>万元。</w:t>
      </w:r>
    </w:p>
    <w:p>
      <w:pPr>
        <w:numPr>
          <w:ilvl w:val="0"/>
          <w:numId w:val="8"/>
        </w:numPr>
        <w:jc w:val="left"/>
        <w:rPr>
          <w:rFonts w:hint="eastAsia" w:ascii="FangSong_GB2312" w:hAnsi="FangSong_GB2312" w:eastAsia="FangSong_GB2312"/>
          <w:sz w:val="32"/>
          <w:lang w:eastAsia="zh-CN"/>
        </w:rPr>
      </w:pPr>
      <w:r>
        <w:rPr>
          <w:rFonts w:hint="eastAsia" w:ascii="FangSong_GB2312" w:hAnsi="FangSong_GB2312" w:eastAsia="FangSong_GB2312"/>
          <w:sz w:val="32"/>
          <w:lang w:eastAsia="zh-CN"/>
        </w:rPr>
        <w:t>国有资产占有情况</w:t>
      </w:r>
    </w:p>
    <w:p>
      <w:pPr>
        <w:numPr>
          <w:numId w:val="0"/>
        </w:numPr>
        <w:jc w:val="left"/>
        <w:rPr>
          <w:rFonts w:hint="eastAsia" w:ascii="FangSong_GB2312" w:hAnsi="FangSong_GB2312" w:eastAsia="FangSong_GB2312"/>
          <w:sz w:val="32"/>
          <w:lang w:eastAsia="zh-CN"/>
        </w:rPr>
      </w:pP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      </w:t>
      </w:r>
      <w:r>
        <w:rPr>
          <w:rFonts w:hint="eastAsia" w:ascii="FangSong_GB2312" w:hAnsi="FangSong_GB2312" w:eastAsia="FangSong_GB2312"/>
          <w:sz w:val="32"/>
          <w:lang w:eastAsia="zh-CN"/>
        </w:rPr>
        <w:t>无</w:t>
      </w:r>
    </w:p>
    <w:p>
      <w:pPr>
        <w:numPr>
          <w:ilvl w:val="0"/>
          <w:numId w:val="9"/>
        </w:numPr>
        <w:jc w:val="left"/>
        <w:rPr>
          <w:rFonts w:hint="eastAsia" w:ascii="FangSong_GB2312" w:hAnsi="FangSong_GB2312" w:eastAsia="FangSong_GB2312"/>
          <w:sz w:val="32"/>
          <w:lang w:eastAsia="zh-CN"/>
        </w:rPr>
      </w:pPr>
      <w:r>
        <w:rPr>
          <w:rFonts w:hint="eastAsia" w:ascii="FangSong_GB2312" w:hAnsi="FangSong_GB2312" w:eastAsia="FangSong_GB2312"/>
          <w:sz w:val="32"/>
          <w:lang w:eastAsia="zh-CN"/>
        </w:rPr>
        <w:t>因公出国情况</w:t>
      </w:r>
    </w:p>
    <w:p>
      <w:pPr>
        <w:numPr>
          <w:numId w:val="0"/>
        </w:numPr>
        <w:jc w:val="left"/>
        <w:rPr>
          <w:rFonts w:hint="eastAsia" w:ascii="FangSong_GB2312" w:hAnsi="FangSong_GB2312" w:eastAsia="FangSong_GB2312"/>
          <w:sz w:val="32"/>
          <w:lang w:eastAsia="zh-CN"/>
        </w:rPr>
      </w:pPr>
      <w:r>
        <w:rPr>
          <w:rFonts w:hint="eastAsia" w:ascii="FangSong_GB2312" w:hAnsi="FangSong_GB2312" w:eastAsia="FangSong_GB2312"/>
          <w:sz w:val="32"/>
          <w:lang w:val="en-US" w:eastAsia="zh-CN"/>
        </w:rPr>
        <w:t xml:space="preserve">        </w:t>
      </w:r>
      <w:r>
        <w:rPr>
          <w:rFonts w:hint="eastAsia" w:ascii="FangSong_GB2312" w:hAnsi="FangSong_GB2312" w:eastAsia="FangSong_GB2312"/>
          <w:sz w:val="32"/>
          <w:lang w:eastAsia="zh-CN"/>
        </w:rPr>
        <w:t>无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宋体" w:eastAsia="仿宋_GB2312" w:cs="Times New Roman"/>
          <w:sz w:val="52"/>
          <w:szCs w:val="52"/>
          <w:highlight w:val="yellow"/>
        </w:rPr>
      </w:pPr>
    </w:p>
    <w:sectPr>
      <w:pgSz w:w="11906" w:h="16838"/>
      <w:pgMar w:top="1440" w:right="1531" w:bottom="1440" w:left="1587" w:header="850" w:footer="992" w:gutter="0"/>
      <w:pgNumType w:fmt="numberInDash"/>
      <w:cols w:space="720" w:num="1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_x0000_s2049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9350940">
    <w:nsid w:val="59F6DE1C"/>
    <w:multiLevelType w:val="singleLevel"/>
    <w:tmpl w:val="59F6DE1C"/>
    <w:lvl w:ilvl="0" w:tentative="1">
      <w:start w:val="2"/>
      <w:numFmt w:val="chineseCounting"/>
      <w:suff w:val="nothing"/>
      <w:lvlText w:val="（%1）"/>
      <w:lvlJc w:val="left"/>
    </w:lvl>
  </w:abstractNum>
  <w:abstractNum w:abstractNumId="1509350976">
    <w:nsid w:val="59F6DE40"/>
    <w:multiLevelType w:val="singleLevel"/>
    <w:tmpl w:val="59F6DE40"/>
    <w:lvl w:ilvl="0" w:tentative="1">
      <w:start w:val="3"/>
      <w:numFmt w:val="chineseCounting"/>
      <w:suff w:val="nothing"/>
      <w:lvlText w:val="（%1）"/>
      <w:lvlJc w:val="left"/>
    </w:lvl>
  </w:abstractNum>
  <w:abstractNum w:abstractNumId="1500635283">
    <w:nsid w:val="5971E093"/>
    <w:multiLevelType w:val="singleLevel"/>
    <w:tmpl w:val="5971E093"/>
    <w:lvl w:ilvl="0" w:tentative="1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1500626777">
    <w:nsid w:val="5971BF59"/>
    <w:multiLevelType w:val="singleLevel"/>
    <w:tmpl w:val="5971BF59"/>
    <w:lvl w:ilvl="0" w:tentative="1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500634077">
    <w:nsid w:val="5971DBDD"/>
    <w:multiLevelType w:val="singleLevel"/>
    <w:tmpl w:val="5971DBDD"/>
    <w:lvl w:ilvl="0" w:tentative="1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1500633794">
    <w:nsid w:val="5971DAC2"/>
    <w:multiLevelType w:val="singleLevel"/>
    <w:tmpl w:val="5971DAC2"/>
    <w:lvl w:ilvl="0" w:tentative="1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500627663">
    <w:nsid w:val="5971C2CF"/>
    <w:multiLevelType w:val="singleLevel"/>
    <w:tmpl w:val="5971C2CF"/>
    <w:lvl w:ilvl="0" w:tentative="1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500627347">
    <w:nsid w:val="5971C193"/>
    <w:multiLevelType w:val="singleLevel"/>
    <w:tmpl w:val="5971C193"/>
    <w:lvl w:ilvl="0" w:tentative="1">
      <w:start w:val="2"/>
      <w:numFmt w:val="chineseCounting"/>
      <w:suff w:val="nothing"/>
      <w:lvlText w:val="%1、"/>
      <w:lvlJc w:val="left"/>
    </w:lvl>
  </w:abstractNum>
  <w:abstractNum w:abstractNumId="1500626455">
    <w:nsid w:val="5971BE17"/>
    <w:multiLevelType w:val="singleLevel"/>
    <w:tmpl w:val="5971BE17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00626455"/>
  </w:num>
  <w:num w:numId="2">
    <w:abstractNumId w:val="1500626777"/>
  </w:num>
  <w:num w:numId="3">
    <w:abstractNumId w:val="1500627347"/>
  </w:num>
  <w:num w:numId="4">
    <w:abstractNumId w:val="1500627663"/>
  </w:num>
  <w:num w:numId="5">
    <w:abstractNumId w:val="1500633794"/>
  </w:num>
  <w:num w:numId="6">
    <w:abstractNumId w:val="1500634077"/>
  </w:num>
  <w:num w:numId="7">
    <w:abstractNumId w:val="1500635283"/>
  </w:num>
  <w:num w:numId="8">
    <w:abstractNumId w:val="1509350940"/>
  </w:num>
  <w:num w:numId="9">
    <w:abstractNumId w:val="15093509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6">
    <w:name w:val="page number"/>
    <w:basedOn w:val="5"/>
    <w:semiHidden/>
    <w:unhideWhenUsed/>
    <w:uiPriority w:val="0"/>
    <w:rPr/>
  </w:style>
  <w:style w:type="character" w:styleId="7">
    <w:name w:val="Hyperlink"/>
    <w:basedOn w:val="5"/>
    <w:semiHidden/>
    <w:unhideWhenUsed/>
    <w:uiPriority w:val="0"/>
    <w:rPr>
      <w:color w:val="2D64B3"/>
      <w:u w:val="none"/>
    </w:rPr>
  </w:style>
  <w:style w:type="character" w:customStyle="1" w:styleId="8">
    <w:name w:val="Footer Char"/>
    <w:basedOn w:val="5"/>
    <w:link w:val="2"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3"/>
    <w:uiPriority w:val="99"/>
    <w:rPr>
      <w:rFonts w:ascii="Calibri" w:hAnsi="Calibri" w:cs="Calibri"/>
      <w:sz w:val="18"/>
      <w:szCs w:val="18"/>
    </w:rPr>
  </w:style>
  <w:style w:type="character" w:customStyle="1" w:styleId="10">
    <w:name w:val="font31"/>
    <w:basedOn w:val="5"/>
    <w:uiPriority w:val="99"/>
    <w:rPr>
      <w:rFonts w:ascii="Arial" w:hAnsi="Arial" w:cs="Arial"/>
      <w:color w:val="000000"/>
      <w:sz w:val="16"/>
      <w:szCs w:val="16"/>
      <w:u w:val="none"/>
    </w:rPr>
  </w:style>
  <w:style w:type="character" w:customStyle="1" w:styleId="11">
    <w:name w:val="font01"/>
    <w:basedOn w:val="5"/>
    <w:uiPriority w:val="99"/>
    <w:rPr>
      <w:rFonts w:ascii="Arial" w:hAnsi="Arial" w:cs="Arial"/>
      <w:color w:val="000000"/>
      <w:sz w:val="16"/>
      <w:szCs w:val="16"/>
      <w:u w:val="none"/>
    </w:rPr>
  </w:style>
  <w:style w:type="character" w:customStyle="1" w:styleId="12">
    <w:name w:val="font41"/>
    <w:basedOn w:val="5"/>
    <w:uiPriority w:val="99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28</Pages>
  <Words>1488</Words>
  <Characters>8483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wsj</dc:creator>
  <cp:lastModifiedBy>Lenovo</cp:lastModifiedBy>
  <cp:lastPrinted>2017-09-18T02:01:00Z</cp:lastPrinted>
  <dcterms:modified xsi:type="dcterms:W3CDTF">2017-10-30T08:07:43Z</dcterms:modified>
  <dc:title>民政服务中心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