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hint="eastAsia" w:ascii="黑体" w:hAnsi="黑体" w:eastAsia="黑体" w:cs="Times New Roman"/>
          <w:sz w:val="44"/>
          <w:szCs w:val="44"/>
          <w:lang w:eastAsia="zh-CN"/>
        </w:rPr>
      </w:pPr>
      <w:r>
        <w:rPr>
          <w:rFonts w:hint="eastAsia" w:ascii="隶书" w:hAnsi="隶书" w:eastAsia="隶书" w:cs="隶书"/>
          <w:sz w:val="44"/>
          <w:szCs w:val="44"/>
          <w:lang w:eastAsia="zh-CN"/>
        </w:rPr>
        <w:t>焦作市国土资源局高新技术产业开发区分局</w:t>
      </w:r>
    </w:p>
    <w:p>
      <w:pPr>
        <w:jc w:val="center"/>
        <w:rPr>
          <w:rFonts w:ascii="隶书" w:hAnsi="隶书" w:eastAsia="隶书" w:cs="Times New Roman"/>
          <w:sz w:val="52"/>
          <w:szCs w:val="52"/>
        </w:rPr>
        <w:sectPr>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高新国土分局</w:t>
      </w:r>
      <w:r>
        <w:rPr>
          <w:rFonts w:hint="eastAsia" w:ascii="黑体" w:hAnsi="黑体" w:eastAsia="黑体" w:cs="黑体"/>
          <w:sz w:val="32"/>
          <w:szCs w:val="32"/>
        </w:rPr>
        <w:t>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高新国土分局</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高新国土分局</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Times New Roman"/>
          <w:sz w:val="48"/>
          <w:szCs w:val="48"/>
        </w:rPr>
        <w:sectPr>
          <w:footerReference r:id="rId3"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高新国土分局</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ascii="楷体_GB2312" w:hAnsi="楷体_GB2312" w:eastAsia="楷体_GB2312" w:cs="Times New Roman"/>
          <w:sz w:val="32"/>
          <w:szCs w:val="32"/>
        </w:rPr>
      </w:pPr>
      <w:r>
        <w:rPr>
          <w:rFonts w:hint="eastAsia" w:ascii="仿宋" w:hAnsi="仿宋" w:eastAsia="仿宋" w:cs="仿宋"/>
          <w:color w:val="auto"/>
          <w:sz w:val="32"/>
          <w:szCs w:val="32"/>
          <w:lang w:val="en-US" w:eastAsia="zh-CN"/>
        </w:rPr>
        <w:t>高新国土分局内设7个股室，归口预算管理单位5个国土所。主要职责是加强国土资源监管，促进可持续发展。国土资源行政执法，国土资源监察，国土资源管理。</w:t>
      </w:r>
    </w:p>
    <w:p>
      <w:pPr>
        <w:numPr>
          <w:ilvl w:val="0"/>
          <w:numId w:val="3"/>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纳入</w:t>
      </w:r>
      <w:r>
        <w:rPr>
          <w:rFonts w:hint="eastAsia" w:ascii="仿宋" w:hAnsi="仿宋" w:eastAsia="仿宋" w:cs="仿宋"/>
          <w:color w:val="auto"/>
          <w:sz w:val="32"/>
          <w:szCs w:val="32"/>
          <w:lang w:val="en-US" w:eastAsia="zh-CN"/>
        </w:rPr>
        <w:t>高新国土分局</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ascii="仿宋_GB2312" w:hAnsi="仿宋_GB2312" w:eastAsia="仿宋_GB2312" w:cs="Times New Roman"/>
          <w:sz w:val="32"/>
          <w:szCs w:val="32"/>
        </w:rPr>
      </w:pPr>
      <w:r>
        <w:rPr>
          <w:rFonts w:hint="eastAsia" w:ascii="仿宋" w:hAnsi="仿宋" w:eastAsia="仿宋" w:cs="仿宋"/>
          <w:color w:val="auto"/>
          <w:sz w:val="32"/>
          <w:szCs w:val="32"/>
          <w:lang w:val="en-US" w:eastAsia="zh-CN"/>
        </w:rPr>
        <w:t>高新国土分局</w:t>
      </w:r>
      <w:r>
        <w:rPr>
          <w:rFonts w:hint="eastAsia" w:ascii="仿宋_GB2312" w:hAnsi="仿宋_GB2312" w:eastAsia="仿宋_GB2312" w:cs="仿宋_GB2312"/>
          <w:sz w:val="32"/>
          <w:szCs w:val="32"/>
        </w:rPr>
        <w:t>本级</w:t>
      </w:r>
    </w:p>
    <w:p>
      <w:pPr>
        <w:numPr>
          <w:ilvl w:val="0"/>
          <w:numId w:val="0"/>
        </w:numPr>
        <w:spacing w:line="360" w:lineRule="auto"/>
        <w:jc w:val="left"/>
        <w:rPr>
          <w:rFonts w:hint="eastAsia" w:ascii="仿宋_GB2312" w:hAnsi="仿宋_GB2312" w:eastAsia="仿宋_GB2312" w:cs="仿宋_GB2312"/>
          <w:sz w:val="32"/>
          <w:szCs w:val="32"/>
        </w:rPr>
      </w:pPr>
    </w:p>
    <w:p>
      <w:pPr>
        <w:numPr>
          <w:ilvl w:val="0"/>
          <w:numId w:val="0"/>
        </w:numPr>
        <w:spacing w:line="360" w:lineRule="auto"/>
        <w:jc w:val="left"/>
        <w:rPr>
          <w:rFonts w:hint="eastAsia" w:ascii="仿宋_GB2312" w:hAnsi="仿宋_GB2312" w:eastAsia="仿宋_GB2312" w:cs="仿宋_GB2312"/>
          <w:sz w:val="32"/>
          <w:szCs w:val="32"/>
        </w:rPr>
      </w:pPr>
    </w:p>
    <w:p>
      <w:pPr>
        <w:numPr>
          <w:ilvl w:val="0"/>
          <w:numId w:val="0"/>
        </w:numPr>
        <w:spacing w:line="360" w:lineRule="auto"/>
        <w:jc w:val="left"/>
        <w:rPr>
          <w:rFonts w:hint="eastAsia" w:ascii="仿宋_GB2312" w:hAnsi="仿宋_GB2312" w:eastAsia="仿宋_GB2312" w:cs="仿宋_GB2312"/>
          <w:sz w:val="32"/>
          <w:szCs w:val="32"/>
        </w:rPr>
      </w:pPr>
    </w:p>
    <w:p>
      <w:pPr>
        <w:numPr>
          <w:ilvl w:val="0"/>
          <w:numId w:val="0"/>
        </w:numPr>
        <w:spacing w:line="360" w:lineRule="auto"/>
        <w:jc w:val="left"/>
        <w:rPr>
          <w:rFonts w:hint="eastAsia" w:ascii="仿宋_GB2312" w:hAnsi="仿宋_GB2312" w:eastAsia="仿宋_GB2312" w:cs="仿宋_GB2312"/>
          <w:sz w:val="32"/>
          <w:szCs w:val="32"/>
        </w:rPr>
      </w:pPr>
    </w:p>
    <w:p>
      <w:pPr>
        <w:numPr>
          <w:ilvl w:val="0"/>
          <w:numId w:val="0"/>
        </w:numPr>
        <w:spacing w:line="360" w:lineRule="auto"/>
        <w:jc w:val="left"/>
        <w:rPr>
          <w:rFonts w:hint="eastAsia" w:ascii="仿宋_GB2312" w:hAnsi="仿宋_GB2312" w:eastAsia="仿宋_GB2312" w:cs="仿宋_GB2312"/>
          <w:sz w:val="32"/>
          <w:szCs w:val="32"/>
        </w:rPr>
      </w:pPr>
    </w:p>
    <w:p>
      <w:pPr>
        <w:numPr>
          <w:ilvl w:val="0"/>
          <w:numId w:val="0"/>
        </w:numPr>
        <w:spacing w:line="360" w:lineRule="auto"/>
        <w:jc w:val="left"/>
        <w:rPr>
          <w:rFonts w:hint="eastAsia" w:ascii="仿宋_GB2312" w:hAnsi="仿宋_GB2312" w:eastAsia="仿宋_GB2312" w:cs="仿宋_GB2312"/>
          <w:sz w:val="32"/>
          <w:szCs w:val="32"/>
        </w:rPr>
      </w:pPr>
    </w:p>
    <w:p>
      <w:pPr>
        <w:numPr>
          <w:ilvl w:val="0"/>
          <w:numId w:val="0"/>
        </w:numPr>
        <w:spacing w:line="360" w:lineRule="auto"/>
        <w:jc w:val="left"/>
        <w:rPr>
          <w:rFonts w:hint="eastAsia" w:ascii="仿宋_GB2312" w:hAnsi="仿宋_GB2312" w:eastAsia="仿宋_GB2312" w:cs="仿宋_GB2312"/>
          <w:sz w:val="32"/>
          <w:szCs w:val="32"/>
        </w:rPr>
      </w:pPr>
    </w:p>
    <w:p>
      <w:pPr>
        <w:numPr>
          <w:ilvl w:val="0"/>
          <w:numId w:val="0"/>
        </w:numPr>
        <w:spacing w:line="360" w:lineRule="auto"/>
        <w:jc w:val="left"/>
        <w:rPr>
          <w:rFonts w:hint="eastAsia" w:ascii="仿宋_GB2312" w:hAnsi="仿宋_GB2312" w:eastAsia="仿宋_GB2312" w:cs="仿宋_GB2312"/>
          <w:sz w:val="32"/>
          <w:szCs w:val="32"/>
        </w:rPr>
      </w:pPr>
    </w:p>
    <w:p>
      <w:pPr>
        <w:numPr>
          <w:ilvl w:val="0"/>
          <w:numId w:val="0"/>
        </w:numPr>
        <w:spacing w:line="360" w:lineRule="auto"/>
        <w:jc w:val="left"/>
        <w:rPr>
          <w:rFonts w:hint="eastAsia" w:ascii="仿宋_GB2312" w:hAnsi="仿宋_GB2312" w:eastAsia="仿宋_GB2312" w:cs="仿宋_GB2312"/>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lang w:eastAsia="zh-CN"/>
        </w:rPr>
        <w:t>高新国土分局</w:t>
      </w: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5"/>
        <w:tblW w:w="10350" w:type="dxa"/>
        <w:tblInd w:w="-13"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rPr>
                <w:rFonts w:ascii="宋体" w:cs="Times New Roman"/>
                <w:color w:val="000000"/>
                <w:sz w:val="16"/>
                <w:szCs w:val="16"/>
              </w:rPr>
            </w:pP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1,304.11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0.13</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3.49</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1,340.97</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3.47</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292.62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1,304.23</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1,640.54</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6,019.64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5,683.33</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7,323.87</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7,323.87</w:t>
            </w:r>
          </w:p>
        </w:tc>
      </w:tr>
      <w:tr>
        <w:tblPrEx>
          <w:tblLayout w:type="fixed"/>
          <w:tblCellMar>
            <w:top w:w="15" w:type="dxa"/>
            <w:left w:w="15" w:type="dxa"/>
            <w:bottom w:w="15" w:type="dxa"/>
            <w:right w:w="15" w:type="dxa"/>
          </w:tblCellMar>
        </w:tblPrEx>
        <w:trPr>
          <w:trHeight w:val="555" w:hRule="atLeast"/>
        </w:trPr>
        <w:tc>
          <w:tcPr>
            <w:tcW w:w="10350" w:type="dxa"/>
            <w:gridSpan w:val="10"/>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Times New Roman"/>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488" w:type="dxa"/>
        <w:tblInd w:w="-164" w:type="dxa"/>
        <w:tblLayout w:type="fixed"/>
        <w:tblCellMar>
          <w:top w:w="15" w:type="dxa"/>
          <w:left w:w="15" w:type="dxa"/>
          <w:bottom w:w="15" w:type="dxa"/>
          <w:right w:w="15" w:type="dxa"/>
        </w:tblCellMar>
      </w:tblPr>
      <w:tblGrid>
        <w:gridCol w:w="826"/>
        <w:gridCol w:w="104"/>
        <w:gridCol w:w="858"/>
        <w:gridCol w:w="1036"/>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488" w:type="dxa"/>
            <w:gridSpan w:val="17"/>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788" w:type="dxa"/>
            <w:gridSpan w:val="3"/>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8" w:type="dxa"/>
            <w:gridSpan w:val="3"/>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82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82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19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2824"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824"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1,304.23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1,304.11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0.13</w:t>
            </w:r>
          </w:p>
        </w:tc>
      </w:tr>
      <w:tr>
        <w:tblPrEx>
          <w:tblLayout w:type="fixed"/>
          <w:tblCellMar>
            <w:top w:w="15" w:type="dxa"/>
            <w:left w:w="15" w:type="dxa"/>
            <w:bottom w:w="15" w:type="dxa"/>
            <w:right w:w="15" w:type="dxa"/>
          </w:tblCellMar>
        </w:tblPrEx>
        <w:trPr>
          <w:trHeight w:val="285"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208</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20805</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2080502</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城乡社区支出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1,000.42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1,000.42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21203</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城乡社区公共设施</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2120303</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小城镇基础设施建设</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420"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21205</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城乡社区环境卫生</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420"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2120501</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城乡社区环境卫生</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420"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214</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交通运输支出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420" w:hRule="atLeast"/>
        </w:trPr>
        <w:tc>
          <w:tcPr>
            <w:tcW w:w="93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21401</w:t>
            </w:r>
          </w:p>
        </w:tc>
        <w:tc>
          <w:tcPr>
            <w:tcW w:w="18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公路水路运输</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435" w:hRule="atLeast"/>
        </w:trPr>
        <w:tc>
          <w:tcPr>
            <w:tcW w:w="930" w:type="dxa"/>
            <w:gridSpan w:val="2"/>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2140104</w:t>
            </w:r>
          </w:p>
        </w:tc>
        <w:tc>
          <w:tcPr>
            <w:tcW w:w="18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公路新建</w:t>
            </w:r>
          </w:p>
        </w:tc>
        <w:tc>
          <w:tcPr>
            <w:tcW w:w="1094"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435" w:hRule="atLeast"/>
        </w:trPr>
        <w:tc>
          <w:tcPr>
            <w:tcW w:w="930" w:type="dxa"/>
            <w:gridSpan w:val="2"/>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16"/>
                <w:szCs w:val="16"/>
              </w:rPr>
            </w:pPr>
            <w:r>
              <w:rPr>
                <w:rFonts w:hint="eastAsia" w:ascii="宋体" w:hAnsi="宋体" w:eastAsia="宋体" w:cs="宋体"/>
                <w:i w:val="0"/>
                <w:color w:val="000000"/>
                <w:kern w:val="0"/>
                <w:sz w:val="16"/>
                <w:szCs w:val="16"/>
                <w:u w:val="none"/>
                <w:lang w:val="en-US" w:eastAsia="zh-CN" w:bidi="ar"/>
              </w:rPr>
              <w:t>220</w:t>
            </w:r>
          </w:p>
        </w:tc>
        <w:tc>
          <w:tcPr>
            <w:tcW w:w="18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国土海洋气象等支出</w:t>
            </w:r>
          </w:p>
        </w:tc>
        <w:tc>
          <w:tcPr>
            <w:tcW w:w="1094"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296.86</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296.73</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0.13</w:t>
            </w:r>
          </w:p>
        </w:tc>
      </w:tr>
      <w:tr>
        <w:tblPrEx>
          <w:tblLayout w:type="fixed"/>
          <w:tblCellMar>
            <w:top w:w="15" w:type="dxa"/>
            <w:left w:w="15" w:type="dxa"/>
            <w:bottom w:w="15" w:type="dxa"/>
            <w:right w:w="15" w:type="dxa"/>
          </w:tblCellMar>
        </w:tblPrEx>
        <w:trPr>
          <w:trHeight w:val="435" w:hRule="atLeast"/>
        </w:trPr>
        <w:tc>
          <w:tcPr>
            <w:tcW w:w="930" w:type="dxa"/>
            <w:gridSpan w:val="2"/>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16"/>
                <w:szCs w:val="16"/>
              </w:rPr>
            </w:pPr>
            <w:r>
              <w:rPr>
                <w:rFonts w:hint="eastAsia" w:ascii="宋体" w:hAnsi="宋体" w:eastAsia="宋体" w:cs="宋体"/>
                <w:i w:val="0"/>
                <w:color w:val="000000"/>
                <w:kern w:val="0"/>
                <w:sz w:val="16"/>
                <w:szCs w:val="16"/>
                <w:u w:val="none"/>
                <w:lang w:val="en-US" w:eastAsia="zh-CN" w:bidi="ar"/>
              </w:rPr>
              <w:t>22001</w:t>
            </w:r>
          </w:p>
        </w:tc>
        <w:tc>
          <w:tcPr>
            <w:tcW w:w="18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国土资源事务</w:t>
            </w:r>
          </w:p>
        </w:tc>
        <w:tc>
          <w:tcPr>
            <w:tcW w:w="1094"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296.86</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296.73</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0.13</w:t>
            </w:r>
          </w:p>
        </w:tc>
      </w:tr>
      <w:tr>
        <w:tblPrEx>
          <w:tblLayout w:type="fixed"/>
          <w:tblCellMar>
            <w:top w:w="15" w:type="dxa"/>
            <w:left w:w="15" w:type="dxa"/>
            <w:bottom w:w="15" w:type="dxa"/>
            <w:right w:w="15" w:type="dxa"/>
          </w:tblCellMar>
        </w:tblPrEx>
        <w:trPr>
          <w:trHeight w:val="435" w:hRule="atLeast"/>
        </w:trPr>
        <w:tc>
          <w:tcPr>
            <w:tcW w:w="930" w:type="dxa"/>
            <w:gridSpan w:val="2"/>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16"/>
                <w:szCs w:val="16"/>
              </w:rPr>
            </w:pPr>
            <w:r>
              <w:rPr>
                <w:rFonts w:hint="eastAsia" w:ascii="宋体" w:hAnsi="宋体" w:eastAsia="宋体" w:cs="宋体"/>
                <w:i w:val="0"/>
                <w:color w:val="000000"/>
                <w:kern w:val="0"/>
                <w:sz w:val="16"/>
                <w:szCs w:val="16"/>
                <w:u w:val="none"/>
                <w:lang w:val="en-US" w:eastAsia="zh-CN" w:bidi="ar"/>
              </w:rPr>
              <w:t>2200101</w:t>
            </w:r>
          </w:p>
        </w:tc>
        <w:tc>
          <w:tcPr>
            <w:tcW w:w="18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行政运行</w:t>
            </w:r>
          </w:p>
        </w:tc>
        <w:tc>
          <w:tcPr>
            <w:tcW w:w="1094"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218.40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218.27</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0.13</w:t>
            </w:r>
          </w:p>
        </w:tc>
      </w:tr>
      <w:tr>
        <w:tblPrEx>
          <w:tblLayout w:type="fixed"/>
          <w:tblCellMar>
            <w:top w:w="15" w:type="dxa"/>
            <w:left w:w="15" w:type="dxa"/>
            <w:bottom w:w="15" w:type="dxa"/>
            <w:right w:w="15" w:type="dxa"/>
          </w:tblCellMar>
        </w:tblPrEx>
        <w:trPr>
          <w:trHeight w:val="435" w:hRule="atLeast"/>
        </w:trPr>
        <w:tc>
          <w:tcPr>
            <w:tcW w:w="930" w:type="dxa"/>
            <w:gridSpan w:val="2"/>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16"/>
                <w:szCs w:val="16"/>
              </w:rPr>
            </w:pPr>
            <w:r>
              <w:rPr>
                <w:rFonts w:hint="eastAsia" w:ascii="宋体" w:hAnsi="宋体" w:eastAsia="宋体" w:cs="宋体"/>
                <w:i w:val="0"/>
                <w:color w:val="000000"/>
                <w:kern w:val="0"/>
                <w:sz w:val="16"/>
                <w:szCs w:val="16"/>
                <w:u w:val="none"/>
                <w:lang w:val="en-US" w:eastAsia="zh-CN" w:bidi="ar"/>
              </w:rPr>
              <w:t>2200102</w:t>
            </w:r>
          </w:p>
        </w:tc>
        <w:tc>
          <w:tcPr>
            <w:tcW w:w="18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094"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78.46</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78.46</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10488" w:type="dxa"/>
            <w:gridSpan w:val="17"/>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both"/>
        <w:rPr>
          <w:rFonts w:ascii="隶书" w:hAnsi="隶书" w:eastAsia="隶书" w:cs="Times New Roman"/>
          <w:sz w:val="52"/>
          <w:szCs w:val="52"/>
        </w:rPr>
        <w:sectPr>
          <w:pgSz w:w="11906" w:h="16838"/>
          <w:pgMar w:top="2098" w:right="1531" w:bottom="1984" w:left="1587" w:header="850" w:footer="992" w:gutter="0"/>
          <w:pgNumType w:fmt="numberInDash"/>
          <w:cols w:space="0" w:num="1"/>
          <w:docGrid w:type="lines" w:linePitch="317" w:charSpace="0"/>
        </w:sectPr>
      </w:pPr>
    </w:p>
    <w:tbl>
      <w:tblPr>
        <w:tblStyle w:val="5"/>
        <w:tblW w:w="10350" w:type="dxa"/>
        <w:tblInd w:w="-13" w:type="dxa"/>
        <w:tblLayout w:type="fixed"/>
        <w:tblCellMar>
          <w:top w:w="15" w:type="dxa"/>
          <w:left w:w="15" w:type="dxa"/>
          <w:bottom w:w="15" w:type="dxa"/>
          <w:right w:w="15" w:type="dxa"/>
        </w:tblCellMar>
      </w:tblPr>
      <w:tblGrid>
        <w:gridCol w:w="735"/>
        <w:gridCol w:w="175"/>
        <w:gridCol w:w="572"/>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5"/>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3"/>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2" w:type="dxa"/>
            <w:gridSpan w:val="3"/>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对附属单位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3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1,640.54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171.84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1,468.70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208</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20805</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2080502</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城乡社区支出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1,340.97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1,340.97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21203</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城乡社区公共设施</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2120303</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小城镇基础设施建设</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21205</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城乡社区环境卫生</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2120501</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城乡社区环境卫生</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21212</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新增建设用地土地有偿使用费及对应专项债务收入安排的支出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2121203</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土地整理支出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214</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交通运输支出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3.47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3.47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21401</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公路水路运输</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3.47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3.47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2140104</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公路新建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3.47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3.47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220</w:t>
            </w:r>
          </w:p>
        </w:tc>
        <w:tc>
          <w:tcPr>
            <w:tcW w:w="221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eastAsia="宋体" w:cs="Times New Roman"/>
                <w:color w:val="000000"/>
                <w:sz w:val="16"/>
                <w:szCs w:val="16"/>
                <w:lang w:eastAsia="zh-CN"/>
              </w:rPr>
            </w:pPr>
            <w:r>
              <w:rPr>
                <w:rFonts w:hint="eastAsia" w:ascii="宋体" w:hAnsi="宋体" w:eastAsia="宋体" w:cs="宋体"/>
                <w:i w:val="0"/>
                <w:color w:val="000000"/>
                <w:kern w:val="0"/>
                <w:sz w:val="16"/>
                <w:szCs w:val="16"/>
                <w:u w:val="none"/>
                <w:lang w:val="en-US" w:eastAsia="zh-CN" w:bidi="ar"/>
              </w:rPr>
              <w:t>国土海洋气象等支出</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292.62</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168.35</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124.27</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16"/>
                <w:szCs w:val="16"/>
              </w:rPr>
            </w:pPr>
            <w:r>
              <w:rPr>
                <w:rFonts w:hint="eastAsia" w:ascii="宋体" w:hAnsi="宋体" w:eastAsia="宋体" w:cs="宋体"/>
                <w:i w:val="0"/>
                <w:color w:val="000000"/>
                <w:kern w:val="0"/>
                <w:sz w:val="16"/>
                <w:szCs w:val="16"/>
                <w:u w:val="none"/>
                <w:lang w:val="en-US" w:eastAsia="zh-CN" w:bidi="ar"/>
              </w:rPr>
              <w:t>22001</w:t>
            </w:r>
          </w:p>
        </w:tc>
        <w:tc>
          <w:tcPr>
            <w:tcW w:w="221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cs="Times New Roman"/>
                <w:color w:val="000000"/>
                <w:sz w:val="16"/>
                <w:szCs w:val="16"/>
                <w:lang w:eastAsia="zh-CN"/>
              </w:rPr>
            </w:pPr>
            <w:r>
              <w:rPr>
                <w:rFonts w:hint="eastAsia" w:ascii="宋体" w:hAnsi="宋体" w:eastAsia="宋体" w:cs="宋体"/>
                <w:i w:val="0"/>
                <w:color w:val="000000"/>
                <w:kern w:val="0"/>
                <w:sz w:val="16"/>
                <w:szCs w:val="16"/>
                <w:u w:val="none"/>
                <w:lang w:val="en-US" w:eastAsia="zh-CN" w:bidi="ar"/>
              </w:rPr>
              <w:t>国土资源事务</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292.62</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168.35</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124.27</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16"/>
                <w:szCs w:val="16"/>
              </w:rPr>
            </w:pPr>
            <w:r>
              <w:rPr>
                <w:rFonts w:hint="eastAsia" w:ascii="宋体" w:hAnsi="宋体" w:eastAsia="宋体" w:cs="宋体"/>
                <w:i w:val="0"/>
                <w:color w:val="000000"/>
                <w:kern w:val="0"/>
                <w:sz w:val="16"/>
                <w:szCs w:val="16"/>
                <w:u w:val="none"/>
                <w:lang w:val="en-US" w:eastAsia="zh-CN" w:bidi="ar"/>
              </w:rPr>
              <w:t>2200101</w:t>
            </w:r>
          </w:p>
        </w:tc>
        <w:tc>
          <w:tcPr>
            <w:tcW w:w="221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cs="Times New Roman"/>
                <w:color w:val="000000"/>
                <w:sz w:val="16"/>
                <w:szCs w:val="16"/>
                <w:lang w:eastAsia="zh-CN"/>
              </w:rPr>
            </w:pPr>
            <w:r>
              <w:rPr>
                <w:rFonts w:hint="eastAsia" w:ascii="宋体" w:hAnsi="宋体" w:eastAsia="宋体" w:cs="宋体"/>
                <w:i w:val="0"/>
                <w:color w:val="000000"/>
                <w:kern w:val="0"/>
                <w:sz w:val="16"/>
                <w:szCs w:val="16"/>
                <w:u w:val="none"/>
                <w:lang w:val="en-US" w:eastAsia="zh-CN" w:bidi="ar"/>
              </w:rPr>
              <w:t xml:space="preserve">  行政运行</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216.60</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168.35</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48.24</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910" w:type="dxa"/>
            <w:gridSpan w:val="2"/>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16"/>
                <w:szCs w:val="16"/>
              </w:rPr>
            </w:pPr>
            <w:r>
              <w:rPr>
                <w:rFonts w:hint="eastAsia" w:ascii="宋体" w:hAnsi="宋体" w:eastAsia="宋体" w:cs="宋体"/>
                <w:i w:val="0"/>
                <w:color w:val="000000"/>
                <w:kern w:val="0"/>
                <w:sz w:val="16"/>
                <w:szCs w:val="16"/>
                <w:u w:val="none"/>
                <w:lang w:val="en-US" w:eastAsia="zh-CN" w:bidi="ar"/>
              </w:rPr>
              <w:t>2200102</w:t>
            </w:r>
          </w:p>
        </w:tc>
        <w:tc>
          <w:tcPr>
            <w:tcW w:w="221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cs="Times New Roman"/>
                <w:color w:val="000000"/>
                <w:sz w:val="16"/>
                <w:szCs w:val="16"/>
                <w:lang w:eastAsia="zh-CN"/>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76.02</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76.02</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05"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60" w:hRule="atLeast"/>
        </w:trPr>
        <w:tc>
          <w:tcPr>
            <w:tcW w:w="10350" w:type="dxa"/>
            <w:gridSpan w:val="15"/>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Times New Roman"/>
          <w:sz w:val="52"/>
          <w:szCs w:val="52"/>
        </w:rPr>
        <w:sectPr>
          <w:pgSz w:w="11906" w:h="16838"/>
          <w:pgMar w:top="2098" w:right="1474" w:bottom="1984" w:left="1587" w:header="850" w:footer="992" w:gutter="0"/>
          <w:pgNumType w:fmt="numberInDash"/>
          <w:cols w:space="0" w:num="1"/>
          <w:docGrid w:type="lines" w:linePitch="318" w:charSpace="0"/>
        </w:sectPr>
      </w:pPr>
    </w:p>
    <w:tbl>
      <w:tblPr>
        <w:tblStyle w:val="5"/>
        <w:tblW w:w="10425" w:type="dxa"/>
        <w:tblInd w:w="-13"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90"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政府性基金预算财政拨款</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1,304.11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3.49</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3.49</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1,340.97</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1,000.42</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340.55</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3.47</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3.47</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292.50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292.50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1,304.11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1,640.41</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1,299.87</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340.55</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6,019.64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5,683.33</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9.34</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5,673.99</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5.10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6,014.54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7,323.75</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7,323.75</w:t>
            </w:r>
          </w:p>
        </w:tc>
        <w:tc>
          <w:tcPr>
            <w:tcW w:w="1300"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1,309.21</w:t>
            </w:r>
          </w:p>
        </w:tc>
        <w:tc>
          <w:tcPr>
            <w:tcW w:w="130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6,014.54</w:t>
            </w:r>
          </w:p>
        </w:tc>
      </w:tr>
      <w:tr>
        <w:tblPrEx>
          <w:tblLayout w:type="fixed"/>
          <w:tblCellMar>
            <w:top w:w="15" w:type="dxa"/>
            <w:left w:w="15" w:type="dxa"/>
            <w:bottom w:w="15" w:type="dxa"/>
            <w:right w:w="15" w:type="dxa"/>
          </w:tblCellMar>
        </w:tblPrEx>
        <w:trPr>
          <w:trHeight w:val="495" w:hRule="atLeast"/>
        </w:trPr>
        <w:tc>
          <w:tcPr>
            <w:tcW w:w="10425"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pPr>
      <w:r>
        <w:rPr>
          <w:rFonts w:ascii="隶书" w:hAnsi="隶书" w:eastAsia="隶书" w:cs="Times New Roman"/>
          <w:sz w:val="52"/>
          <w:szCs w:val="52"/>
        </w:rPr>
        <w:br w:type="page"/>
      </w:r>
    </w:p>
    <w:tbl>
      <w:tblPr>
        <w:tblStyle w:val="5"/>
        <w:tblW w:w="10440" w:type="dxa"/>
        <w:tblInd w:w="-13" w:type="dxa"/>
        <w:tblLayout w:type="fixed"/>
        <w:tblCellMar>
          <w:top w:w="15" w:type="dxa"/>
          <w:left w:w="15" w:type="dxa"/>
          <w:bottom w:w="15" w:type="dxa"/>
          <w:right w:w="15" w:type="dxa"/>
        </w:tblCellMar>
      </w:tblPr>
      <w:tblGrid>
        <w:gridCol w:w="1216"/>
        <w:gridCol w:w="37"/>
        <w:gridCol w:w="638"/>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3"/>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3"/>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1,299.87</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171.71</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1,128.15</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208</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20805</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2080502</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城乡社区支出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1,000.42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1,000.42</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21203</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城乡社区公共设施</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2120303</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小城镇基础设施建设</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906.53</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21205</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城乡社区环境卫生</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2120501</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城乡社区环境卫生</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93.89</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214</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交通运输支出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21401</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公路水路运输</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2140104</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公路新建</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3.47</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220</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国土海洋气象等支出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292.50</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168.23</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124.27</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22001</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国土资源事务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292.50</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168.23</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124.27</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2200101</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216.47</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168.23</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48.24</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2200102</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76.02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76.02</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600" w:hRule="atLeast"/>
        </w:trPr>
        <w:tc>
          <w:tcPr>
            <w:tcW w:w="10440" w:type="dxa"/>
            <w:gridSpan w:val="9"/>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485" w:type="dxa"/>
        <w:tblInd w:w="-13"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b/>
                <w:i w:val="0"/>
                <w:color w:val="000000"/>
                <w:kern w:val="0"/>
                <w:sz w:val="16"/>
                <w:szCs w:val="16"/>
                <w:u w:val="none"/>
                <w:lang w:val="en-US" w:eastAsia="zh-CN" w:bidi="ar"/>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b/>
                <w:i w:val="0"/>
                <w:color w:val="000000"/>
                <w:kern w:val="0"/>
                <w:sz w:val="16"/>
                <w:szCs w:val="16"/>
                <w:u w:val="none"/>
                <w:lang w:val="en-US" w:eastAsia="zh-CN" w:bidi="ar"/>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115.91</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b/>
                <w:i w:val="0"/>
                <w:color w:val="000000"/>
                <w:kern w:val="0"/>
                <w:sz w:val="16"/>
                <w:szCs w:val="16"/>
                <w:u w:val="none"/>
                <w:lang w:val="en-US" w:eastAsia="zh-CN" w:bidi="ar"/>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b/>
                <w:i w:val="0"/>
                <w:color w:val="000000"/>
                <w:kern w:val="0"/>
                <w:sz w:val="16"/>
                <w:szCs w:val="16"/>
                <w:u w:val="none"/>
                <w:lang w:val="en-US" w:eastAsia="zh-CN" w:bidi="ar"/>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18.93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106.15</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4.88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1.24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9.30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0.46</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0.14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1.79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4.35</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b/>
                <w:i w:val="0"/>
                <w:color w:val="000000"/>
                <w:kern w:val="0"/>
                <w:sz w:val="16"/>
                <w:szCs w:val="16"/>
                <w:u w:val="none"/>
                <w:lang w:val="en-US" w:eastAsia="zh-CN" w:bidi="ar"/>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b/>
                <w:i w:val="0"/>
                <w:color w:val="000000"/>
                <w:kern w:val="0"/>
                <w:sz w:val="16"/>
                <w:szCs w:val="16"/>
                <w:u w:val="none"/>
                <w:lang w:val="en-US" w:eastAsia="zh-CN" w:bidi="ar"/>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36.88</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0.34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因公出国（境）费用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3.49</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0.01</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0.91</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0.33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1.27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15.97</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2.66</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13.56</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2.03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0.30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2.06</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0.29</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0.14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b/>
                <w:bCs/>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b/>
                <w:bCs/>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31099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304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对企事业单位的补贴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30401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企业政策性补贴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30402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事业单位补贴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30403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财政贴息</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30499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其他对企事业单位的补贴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307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债务利息支出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30701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国内债务付息</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30707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国外债务付息</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399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其他支出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FFFFFF" w:fill="C0C0C0"/>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FFFFFF" w:fill="C0C0C0"/>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39906</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C0C0C0"/>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赠与</w:t>
            </w:r>
          </w:p>
        </w:tc>
        <w:tc>
          <w:tcPr>
            <w:tcW w:w="171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477" w:hRule="atLeast"/>
        </w:trPr>
        <w:tc>
          <w:tcPr>
            <w:tcW w:w="3444" w:type="dxa"/>
            <w:gridSpan w:val="3"/>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人员经费合计</w:t>
            </w:r>
          </w:p>
        </w:tc>
        <w:tc>
          <w:tcPr>
            <w:tcW w:w="1620" w:type="dxa"/>
            <w:vAlign w:val="center"/>
          </w:tcPr>
          <w:p>
            <w:pPr>
              <w:keepNext w:val="0"/>
              <w:keepLines w:val="0"/>
              <w:widowControl/>
              <w:suppressLineNumbers w:val="0"/>
              <w:jc w:val="right"/>
              <w:textAlignment w:val="center"/>
              <w:rPr>
                <w:sz w:val="16"/>
                <w:szCs w:val="16"/>
              </w:rPr>
            </w:pPr>
            <w:r>
              <w:rPr>
                <w:rFonts w:hint="eastAsia" w:ascii="宋体" w:hAnsi="宋体" w:eastAsia="宋体" w:cs="宋体"/>
                <w:i w:val="0"/>
                <w:color w:val="000000"/>
                <w:kern w:val="0"/>
                <w:sz w:val="16"/>
                <w:szCs w:val="16"/>
                <w:u w:val="none"/>
                <w:lang w:val="en-US" w:eastAsia="zh-CN" w:bidi="ar"/>
              </w:rPr>
              <w:t>152.79</w:t>
            </w:r>
          </w:p>
        </w:tc>
        <w:tc>
          <w:tcPr>
            <w:tcW w:w="3711" w:type="dxa"/>
            <w:gridSpan w:val="4"/>
            <w:shd w:val="clear" w:color="FFFFFF" w:fill="C0C0C0"/>
            <w:vAlign w:val="center"/>
          </w:tcPr>
          <w:p>
            <w:pPr>
              <w:keepNext w:val="0"/>
              <w:keepLines w:val="0"/>
              <w:widowControl/>
              <w:suppressLineNumbers w:val="0"/>
              <w:jc w:val="center"/>
              <w:textAlignment w:val="center"/>
              <w:rPr>
                <w:sz w:val="16"/>
                <w:szCs w:val="16"/>
              </w:rPr>
            </w:pPr>
            <w:r>
              <w:rPr>
                <w:rFonts w:hint="eastAsia" w:ascii="宋体" w:hAnsi="宋体" w:eastAsia="宋体" w:cs="宋体"/>
                <w:b/>
                <w:i w:val="0"/>
                <w:color w:val="000000"/>
                <w:kern w:val="0"/>
                <w:sz w:val="16"/>
                <w:szCs w:val="16"/>
                <w:u w:val="none"/>
                <w:lang w:val="en-US" w:eastAsia="zh-CN" w:bidi="ar"/>
              </w:rPr>
              <w:t>公用经费合计</w:t>
            </w:r>
          </w:p>
        </w:tc>
        <w:tc>
          <w:tcPr>
            <w:tcW w:w="1710" w:type="dxa"/>
            <w:vAlign w:val="center"/>
          </w:tcPr>
          <w:p>
            <w:pPr>
              <w:keepNext w:val="0"/>
              <w:keepLines w:val="0"/>
              <w:widowControl/>
              <w:suppressLineNumbers w:val="0"/>
              <w:jc w:val="right"/>
              <w:textAlignment w:val="center"/>
              <w:rPr>
                <w:sz w:val="16"/>
                <w:szCs w:val="16"/>
              </w:rPr>
            </w:pPr>
            <w:r>
              <w:rPr>
                <w:rFonts w:hint="eastAsia" w:ascii="宋体" w:hAnsi="宋体" w:eastAsia="宋体" w:cs="宋体"/>
                <w:i w:val="0"/>
                <w:color w:val="000000"/>
                <w:kern w:val="0"/>
                <w:sz w:val="16"/>
                <w:szCs w:val="16"/>
                <w:u w:val="none"/>
                <w:lang w:val="en-US" w:eastAsia="zh-CN" w:bidi="ar"/>
              </w:rPr>
              <w:t>18.93</w:t>
            </w:r>
          </w:p>
        </w:tc>
      </w:tr>
    </w:tbl>
    <w:p>
      <w:pPr>
        <w:spacing w:line="360" w:lineRule="auto"/>
        <w:jc w:val="left"/>
        <w:rPr>
          <w:rFonts w:hint="eastAsia" w:ascii="宋体" w:hAnsi="宋体" w:eastAsia="宋体" w:cs="宋体"/>
          <w:sz w:val="16"/>
          <w:szCs w:val="16"/>
        </w:rPr>
        <w:sectPr>
          <w:pgSz w:w="11906" w:h="16838"/>
          <w:pgMar w:top="1440" w:right="1531" w:bottom="1440" w:left="1587" w:header="850" w:footer="992" w:gutter="0"/>
          <w:pgNumType w:fmt="numberInDash"/>
          <w:cols w:space="0" w:num="1"/>
          <w:docGrid w:type="lines" w:linePitch="317" w:charSpace="0"/>
        </w:sectPr>
      </w:pPr>
      <w:r>
        <w:rPr>
          <w:rFonts w:hint="eastAsia" w:ascii="宋体" w:hAnsi="宋体" w:eastAsia="宋体" w:cs="宋体"/>
          <w:sz w:val="16"/>
          <w:szCs w:val="16"/>
        </w:rPr>
        <w:t>注：本表反</w:t>
      </w:r>
      <w:bookmarkStart w:id="0" w:name="_GoBack"/>
      <w:bookmarkEnd w:id="0"/>
      <w:r>
        <w:rPr>
          <w:rFonts w:hint="eastAsia" w:ascii="宋体" w:hAnsi="宋体" w:eastAsia="宋体" w:cs="宋体"/>
          <w:sz w:val="16"/>
          <w:szCs w:val="16"/>
        </w:rPr>
        <w:t xml:space="preserve">映部门本年度一般公共预算财政拨款基本支出明细情况。 </w:t>
      </w:r>
    </w:p>
    <w:tbl>
      <w:tblPr>
        <w:tblStyle w:val="5"/>
        <w:tblW w:w="10485" w:type="dxa"/>
        <w:tblInd w:w="-13"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r>
      <w:tr>
        <w:tblPrEx>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11.12</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7.70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7.70</w:t>
            </w:r>
          </w:p>
        </w:tc>
        <w:tc>
          <w:tcPr>
            <w:tcW w:w="91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3.42</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3.33</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2.06</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820"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2.06</w:t>
            </w:r>
          </w:p>
        </w:tc>
        <w:tc>
          <w:tcPr>
            <w:tcW w:w="87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1.27</w:t>
            </w:r>
          </w:p>
        </w:tc>
      </w:tr>
      <w:tr>
        <w:tblPrEx>
          <w:tblLayout w:type="fixed"/>
          <w:tblCellMar>
            <w:top w:w="15" w:type="dxa"/>
            <w:left w:w="15" w:type="dxa"/>
            <w:bottom w:w="15" w:type="dxa"/>
            <w:right w:w="15" w:type="dxa"/>
          </w:tblCellMar>
        </w:tblPrEx>
        <w:trPr>
          <w:trHeight w:val="600" w:hRule="atLeast"/>
        </w:trPr>
        <w:tc>
          <w:tcPr>
            <w:tcW w:w="10485" w:type="dxa"/>
            <w:gridSpan w:val="2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500" w:type="dxa"/>
        <w:tblInd w:w="-13" w:type="dxa"/>
        <w:tblLayout w:type="fixed"/>
        <w:tblCellMar>
          <w:top w:w="15" w:type="dxa"/>
          <w:left w:w="15" w:type="dxa"/>
          <w:bottom w:w="15" w:type="dxa"/>
          <w:right w:w="15" w:type="dxa"/>
        </w:tblCellMar>
      </w:tblPr>
      <w:tblGrid>
        <w:gridCol w:w="705"/>
        <w:gridCol w:w="178"/>
        <w:gridCol w:w="708"/>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3"/>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3"/>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591" w:type="dxa"/>
            <w:gridSpan w:val="3"/>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32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3027"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6,014.54</w:t>
            </w:r>
          </w:p>
        </w:tc>
        <w:tc>
          <w:tcPr>
            <w:tcW w:w="1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6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5,673.99</w:t>
            </w:r>
          </w:p>
        </w:tc>
      </w:tr>
      <w:tr>
        <w:tblPrEx>
          <w:tblLayout w:type="fixed"/>
          <w:tblCellMar>
            <w:top w:w="15" w:type="dxa"/>
            <w:left w:w="15" w:type="dxa"/>
            <w:bottom w:w="15" w:type="dxa"/>
            <w:right w:w="15" w:type="dxa"/>
          </w:tblCellMar>
        </w:tblPrEx>
        <w:trPr>
          <w:trHeight w:val="285" w:hRule="atLeast"/>
        </w:trPr>
        <w:tc>
          <w:tcPr>
            <w:tcW w:w="88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212</w:t>
            </w:r>
          </w:p>
        </w:tc>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城乡社区支出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6,014.54</w:t>
            </w:r>
          </w:p>
        </w:tc>
        <w:tc>
          <w:tcPr>
            <w:tcW w:w="1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6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16"/>
                <w:szCs w:val="16"/>
                <w:u w:val="none"/>
                <w:lang w:val="en-US" w:eastAsia="zh-CN" w:bidi="ar"/>
              </w:rPr>
              <w:t>5,673.99</w:t>
            </w:r>
          </w:p>
        </w:tc>
      </w:tr>
      <w:tr>
        <w:tblPrEx>
          <w:tblLayout w:type="fixed"/>
          <w:tblCellMar>
            <w:top w:w="15" w:type="dxa"/>
            <w:left w:w="15" w:type="dxa"/>
            <w:bottom w:w="15" w:type="dxa"/>
            <w:right w:w="15" w:type="dxa"/>
          </w:tblCellMar>
        </w:tblPrEx>
        <w:trPr>
          <w:trHeight w:val="420" w:hRule="atLeast"/>
        </w:trPr>
        <w:tc>
          <w:tcPr>
            <w:tcW w:w="88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21212</w:t>
            </w:r>
          </w:p>
        </w:tc>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新增建设用地土地有偿使用费及对应专项债务收入安排的支出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6,014.54</w:t>
            </w:r>
          </w:p>
        </w:tc>
        <w:tc>
          <w:tcPr>
            <w:tcW w:w="1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6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5,673.99</w:t>
            </w:r>
          </w:p>
        </w:tc>
      </w:tr>
      <w:tr>
        <w:tblPrEx>
          <w:tblLayout w:type="fixed"/>
          <w:tblCellMar>
            <w:top w:w="15" w:type="dxa"/>
            <w:left w:w="15" w:type="dxa"/>
            <w:bottom w:w="15" w:type="dxa"/>
            <w:right w:w="15" w:type="dxa"/>
          </w:tblCellMar>
        </w:tblPrEx>
        <w:trPr>
          <w:trHeight w:val="285" w:hRule="atLeast"/>
        </w:trPr>
        <w:tc>
          <w:tcPr>
            <w:tcW w:w="88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2121203</w:t>
            </w:r>
          </w:p>
        </w:tc>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 xml:space="preserve">  土地整理支出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6,014.54</w:t>
            </w:r>
          </w:p>
        </w:tc>
        <w:tc>
          <w:tcPr>
            <w:tcW w:w="1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340.55</w:t>
            </w:r>
          </w:p>
        </w:tc>
        <w:tc>
          <w:tcPr>
            <w:tcW w:w="126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5,673.99</w:t>
            </w: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22"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3"/>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3"/>
            <w:vAlign w:val="center"/>
          </w:tcPr>
          <w:p>
            <w:pPr>
              <w:widowControl/>
              <w:jc w:val="left"/>
              <w:textAlignment w:val="center"/>
              <w:rPr>
                <w:rFonts w:ascii="宋体" w:cs="Times New Roman"/>
                <w:b/>
                <w:bCs/>
                <w:color w:val="FF0000"/>
                <w:sz w:val="20"/>
                <w:szCs w:val="20"/>
              </w:rPr>
            </w:pPr>
            <w:r>
              <w:rPr>
                <w:rFonts w:hint="eastAsia" w:ascii="宋体" w:hAnsi="宋体" w:cs="宋体"/>
                <w:b/>
                <w:bCs/>
                <w:color w:val="FF0000"/>
                <w:kern w:val="0"/>
                <w:sz w:val="20"/>
                <w:szCs w:val="20"/>
              </w:rPr>
              <w:t>（该报表全部数据为零时）说明：</w:t>
            </w:r>
            <w:r>
              <w:rPr>
                <w:rFonts w:ascii="宋体" w:hAnsi="宋体" w:cs="宋体"/>
                <w:b/>
                <w:bCs/>
                <w:color w:val="FF0000"/>
                <w:kern w:val="0"/>
                <w:sz w:val="20"/>
                <w:szCs w:val="20"/>
              </w:rPr>
              <w:t>xx</w:t>
            </w:r>
            <w:r>
              <w:rPr>
                <w:rFonts w:hint="eastAsia" w:ascii="宋体" w:hAnsi="宋体" w:cs="宋体"/>
                <w:b/>
                <w:bCs/>
                <w:color w:val="FF0000"/>
                <w:kern w:val="0"/>
                <w:sz w:val="20"/>
                <w:szCs w:val="20"/>
              </w:rPr>
              <w:t>局（委）没有政府性基金收入，也没有使用政府性基金安排的支出，故本表无数据。</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高新国土分局</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年度收入总计7323.87万元，支出总计7323.87万元，与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年相比，收、支总计各增加</w:t>
      </w:r>
      <w:r>
        <w:rPr>
          <w:rFonts w:hint="eastAsia" w:ascii="仿宋_GB2312" w:hAnsi="宋体" w:eastAsia="仿宋_GB2312" w:cs="仿宋_GB2312"/>
          <w:sz w:val="32"/>
          <w:szCs w:val="32"/>
          <w:lang w:val="en-US" w:eastAsia="zh-CN"/>
        </w:rPr>
        <w:t>954.23</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14.98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rPr>
          <w:rFonts w:ascii="仿宋_GB2312" w:hAnsi="宋体" w:eastAsia="仿宋_GB2312" w:cs="Times New Roman"/>
          <w:sz w:val="32"/>
          <w:szCs w:val="32"/>
        </w:rPr>
      </w:pP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color w:val="auto"/>
          <w:sz w:val="32"/>
          <w:szCs w:val="32"/>
        </w:rPr>
      </w:pPr>
      <w:r>
        <w:rPr>
          <w:rFonts w:ascii="仿宋_GB2312" w:hAnsi="宋体" w:eastAsia="仿宋_GB2312" w:cs="仿宋_GB2312"/>
          <w:color w:val="auto"/>
          <w:sz w:val="32"/>
          <w:szCs w:val="32"/>
        </w:rPr>
        <w:t>2016</w:t>
      </w:r>
      <w:r>
        <w:rPr>
          <w:rFonts w:hint="eastAsia" w:ascii="仿宋_GB2312" w:hAnsi="宋体" w:eastAsia="仿宋_GB2312" w:cs="仿宋_GB2312"/>
          <w:color w:val="auto"/>
          <w:sz w:val="32"/>
          <w:szCs w:val="32"/>
        </w:rPr>
        <w:t>年度</w:t>
      </w:r>
      <w:r>
        <w:rPr>
          <w:rFonts w:hint="eastAsia" w:ascii="仿宋_GB2312" w:hAnsi="Times New Roman" w:eastAsia="仿宋_GB2312" w:cs="仿宋_GB2312"/>
          <w:color w:val="auto"/>
          <w:sz w:val="32"/>
          <w:szCs w:val="32"/>
        </w:rPr>
        <w:t>收入合计1304.23万元，其中：财政拨款收入1304.11万元，占</w:t>
      </w:r>
      <w:r>
        <w:rPr>
          <w:rFonts w:hint="eastAsia" w:ascii="仿宋_GB2312" w:hAnsi="Times New Roman" w:eastAsia="仿宋_GB2312" w:cs="仿宋_GB2312"/>
          <w:color w:val="auto"/>
          <w:sz w:val="32"/>
          <w:szCs w:val="32"/>
          <w:lang w:val="en-US" w:eastAsia="zh-CN"/>
        </w:rPr>
        <w:t>99.99</w:t>
      </w:r>
      <w:r>
        <w:rPr>
          <w:rFonts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rPr>
        <w:t>；其他收入0.13万元，占</w:t>
      </w:r>
      <w:r>
        <w:rPr>
          <w:rFonts w:hint="eastAsia" w:ascii="仿宋_GB2312" w:hAnsi="Times New Roman" w:eastAsia="仿宋_GB2312" w:cs="仿宋_GB2312"/>
          <w:color w:val="auto"/>
          <w:sz w:val="32"/>
          <w:szCs w:val="32"/>
          <w:lang w:val="en-US" w:eastAsia="zh-CN"/>
        </w:rPr>
        <w:t>0.01</w:t>
      </w:r>
      <w:r>
        <w:rPr>
          <w:rFonts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rPr>
        <w:t>。</w:t>
      </w:r>
    </w:p>
    <w:p>
      <w:pPr>
        <w:adjustRightInd w:val="0"/>
        <w:snapToGrid w:val="0"/>
        <w:spacing w:line="360" w:lineRule="auto"/>
        <w:rPr>
          <w:rFonts w:ascii="仿宋_GB2312" w:hAnsi="Times New Roman" w:eastAsia="仿宋_GB2312" w:cs="Times New Roman"/>
          <w:sz w:val="32"/>
          <w:szCs w:val="32"/>
        </w:rPr>
      </w:pP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仿宋_GB2312"/>
          <w:color w:val="auto"/>
          <w:sz w:val="32"/>
          <w:szCs w:val="32"/>
        </w:rPr>
      </w:pPr>
      <w:r>
        <w:rPr>
          <w:rFonts w:ascii="仿宋_GB2312" w:hAnsi="宋体" w:eastAsia="仿宋_GB2312" w:cs="仿宋_GB2312"/>
          <w:color w:val="auto"/>
          <w:sz w:val="32"/>
          <w:szCs w:val="32"/>
        </w:rPr>
        <w:t>2016</w:t>
      </w:r>
      <w:r>
        <w:rPr>
          <w:rFonts w:hint="eastAsia" w:ascii="仿宋_GB2312" w:hAnsi="宋体" w:eastAsia="仿宋_GB2312" w:cs="仿宋_GB2312"/>
          <w:color w:val="auto"/>
          <w:sz w:val="32"/>
          <w:szCs w:val="32"/>
        </w:rPr>
        <w:t>年度支出合计1640.54万元，其中：基本支出171.84万元，占</w:t>
      </w:r>
      <w:r>
        <w:rPr>
          <w:rFonts w:hint="eastAsia" w:ascii="仿宋_GB2312" w:hAnsi="宋体" w:eastAsia="仿宋_GB2312" w:cs="仿宋_GB2312"/>
          <w:color w:val="auto"/>
          <w:sz w:val="32"/>
          <w:szCs w:val="32"/>
          <w:lang w:val="en-US" w:eastAsia="zh-CN"/>
        </w:rPr>
        <w:t>10.47</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；项目支出1468.7万元，占</w:t>
      </w:r>
      <w:r>
        <w:rPr>
          <w:rFonts w:hint="eastAsia" w:ascii="仿宋_GB2312" w:hAnsi="宋体" w:eastAsia="仿宋_GB2312" w:cs="仿宋_GB2312"/>
          <w:color w:val="auto"/>
          <w:sz w:val="32"/>
          <w:szCs w:val="32"/>
          <w:lang w:val="en-US" w:eastAsia="zh-CN"/>
        </w:rPr>
        <w:t>89.53</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adjustRightInd w:val="0"/>
        <w:snapToGrid w:val="0"/>
        <w:spacing w:line="360" w:lineRule="auto"/>
        <w:rPr>
          <w:rFonts w:ascii="仿宋_GB2312" w:hAnsi="宋体" w:eastAsia="仿宋_GB2312" w:cs="Times New Roman"/>
          <w:sz w:val="32"/>
          <w:szCs w:val="32"/>
        </w:rPr>
      </w:pP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年财政拨款收支总决算7323.75万元。与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年相比，财政拨款收、支总计各增加</w:t>
      </w:r>
      <w:r>
        <w:rPr>
          <w:rFonts w:hint="eastAsia" w:ascii="仿宋_GB2312" w:hAnsi="宋体" w:eastAsia="仿宋_GB2312" w:cs="仿宋_GB2312"/>
          <w:sz w:val="32"/>
          <w:szCs w:val="32"/>
          <w:lang w:val="en-US" w:eastAsia="zh-CN"/>
        </w:rPr>
        <w:t>954.23</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14.98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rPr>
          <w:rFonts w:ascii="仿宋_GB2312" w:hAnsi="宋体" w:eastAsia="仿宋_GB2312" w:cs="Times New Roman"/>
          <w:sz w:val="32"/>
          <w:szCs w:val="32"/>
        </w:rPr>
      </w:pP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年一般公共预算财政拨款支出1299.87万元，占支出合计的</w:t>
      </w:r>
      <w:r>
        <w:rPr>
          <w:rFonts w:hint="eastAsia" w:ascii="仿宋_GB2312" w:hAnsi="宋体" w:eastAsia="仿宋_GB2312" w:cs="仿宋_GB2312"/>
          <w:sz w:val="32"/>
          <w:szCs w:val="32"/>
          <w:lang w:val="en-US" w:eastAsia="zh-CN"/>
        </w:rPr>
        <w:t>17.75</w:t>
      </w:r>
      <w:r>
        <w:rPr>
          <w:rFonts w:ascii="仿宋_GB2312" w:hAnsi="宋体" w:eastAsia="仿宋_GB2312" w:cs="仿宋_GB2312"/>
          <w:sz w:val="32"/>
          <w:szCs w:val="32"/>
        </w:rPr>
        <w:t>%</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年相比，一般公共预算财政拨款支出增加</w:t>
      </w:r>
      <w:r>
        <w:rPr>
          <w:rFonts w:hint="eastAsia" w:ascii="仿宋_GB2312" w:hAnsi="宋体" w:eastAsia="仿宋_GB2312" w:cs="仿宋_GB2312"/>
          <w:sz w:val="32"/>
          <w:szCs w:val="32"/>
          <w:lang w:val="en-US" w:eastAsia="zh-CN"/>
        </w:rPr>
        <w:t>950.41</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271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jc w:val="center"/>
        <w:rPr>
          <w:rFonts w:hint="eastAsia" w:ascii="宋体" w:hAnsi="宋体" w:cs="宋体"/>
          <w:sz w:val="24"/>
          <w:szCs w:val="24"/>
        </w:rPr>
      </w:pPr>
    </w:p>
    <w:p>
      <w:pPr>
        <w:adjustRightInd w:val="0"/>
        <w:snapToGrid w:val="0"/>
        <w:spacing w:line="360" w:lineRule="auto"/>
        <w:jc w:val="center"/>
        <w:rPr>
          <w:rFonts w:hint="eastAsia" w:ascii="宋体" w:hAnsi="宋体" w:cs="宋体"/>
          <w:sz w:val="24"/>
          <w:szCs w:val="24"/>
        </w:rPr>
      </w:pPr>
    </w:p>
    <w:p>
      <w:pPr>
        <w:numPr>
          <w:ilvl w:val="0"/>
          <w:numId w:val="6"/>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年度一般公共预算财政拨款支出1299.87万元，主要用于以下方面：</w:t>
      </w:r>
      <w:r>
        <w:rPr>
          <w:rFonts w:hint="eastAsia" w:ascii="仿宋_GB2312" w:hAnsi="宋体" w:eastAsia="仿宋_GB2312" w:cs="仿宋_GB2312"/>
          <w:b/>
          <w:bCs/>
          <w:sz w:val="32"/>
          <w:szCs w:val="32"/>
        </w:rPr>
        <w:t>社会保障和就业支出</w:t>
      </w:r>
      <w:r>
        <w:rPr>
          <w:rFonts w:hint="eastAsia" w:ascii="仿宋_GB2312" w:hAnsi="宋体" w:eastAsia="仿宋_GB2312" w:cs="仿宋_GB2312"/>
          <w:sz w:val="32"/>
          <w:szCs w:val="32"/>
        </w:rPr>
        <w:t>3.49万元，占</w:t>
      </w:r>
      <w:r>
        <w:rPr>
          <w:rFonts w:hint="eastAsia" w:ascii="仿宋_GB2312" w:hAnsi="宋体" w:eastAsia="仿宋_GB2312" w:cs="仿宋_GB2312"/>
          <w:sz w:val="32"/>
          <w:szCs w:val="32"/>
          <w:lang w:val="en-US" w:eastAsia="zh-CN"/>
        </w:rPr>
        <w:t>0.27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城乡社区支出</w:t>
      </w:r>
      <w:r>
        <w:rPr>
          <w:rFonts w:hint="eastAsia" w:ascii="仿宋_GB2312" w:hAnsi="宋体" w:eastAsia="仿宋_GB2312" w:cs="仿宋_GB2312"/>
          <w:sz w:val="32"/>
          <w:szCs w:val="32"/>
        </w:rPr>
        <w:t>1000.42万元，占</w:t>
      </w:r>
      <w:r>
        <w:rPr>
          <w:rFonts w:hint="eastAsia" w:ascii="仿宋_GB2312" w:hAnsi="宋体" w:eastAsia="仿宋_GB2312" w:cs="仿宋_GB2312"/>
          <w:sz w:val="32"/>
          <w:szCs w:val="32"/>
          <w:lang w:val="en-US" w:eastAsia="zh-CN"/>
        </w:rPr>
        <w:t>76.96</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交通运输支出</w:t>
      </w:r>
      <w:r>
        <w:rPr>
          <w:rFonts w:hint="eastAsia" w:ascii="仿宋_GB2312" w:hAnsi="宋体" w:eastAsia="仿宋_GB2312" w:cs="仿宋_GB2312"/>
          <w:b w:val="0"/>
          <w:bCs w:val="0"/>
          <w:sz w:val="32"/>
          <w:szCs w:val="32"/>
        </w:rPr>
        <w:t>3.47</w:t>
      </w:r>
      <w:r>
        <w:rPr>
          <w:rFonts w:hint="eastAsia" w:ascii="仿宋_GB2312" w:hAnsi="宋体" w:eastAsia="仿宋_GB2312" w:cs="仿宋_GB2312"/>
          <w:b w:val="0"/>
          <w:bCs w:val="0"/>
          <w:sz w:val="32"/>
          <w:szCs w:val="32"/>
          <w:lang w:eastAsia="zh-CN"/>
        </w:rPr>
        <w:t>万元</w:t>
      </w:r>
      <w:r>
        <w:rPr>
          <w:rFonts w:hint="eastAsia" w:ascii="仿宋_GB2312" w:hAnsi="宋体" w:eastAsia="仿宋_GB2312" w:cs="仿宋_GB2312"/>
          <w:b/>
          <w:bCs/>
          <w:sz w:val="32"/>
          <w:szCs w:val="32"/>
          <w:lang w:eastAsia="zh-CN"/>
        </w:rPr>
        <w:t>，</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val="en-US" w:eastAsia="zh-CN"/>
        </w:rPr>
        <w:t>0.27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国土海洋气象等支出</w:t>
      </w:r>
      <w:r>
        <w:rPr>
          <w:rFonts w:hint="eastAsia" w:ascii="仿宋_GB2312" w:hAnsi="宋体" w:eastAsia="仿宋_GB2312" w:cs="仿宋_GB2312"/>
          <w:sz w:val="32"/>
          <w:szCs w:val="32"/>
        </w:rPr>
        <w:t>292.5</w:t>
      </w:r>
      <w:r>
        <w:rPr>
          <w:rFonts w:hint="eastAsia" w:ascii="仿宋_GB2312" w:hAnsi="宋体" w:eastAsia="仿宋_GB2312" w:cs="仿宋_GB2312"/>
          <w:sz w:val="32"/>
          <w:szCs w:val="32"/>
          <w:lang w:eastAsia="zh-CN"/>
        </w:rPr>
        <w:t>万元，</w:t>
      </w:r>
      <w:r>
        <w:rPr>
          <w:rFonts w:hint="eastAsia" w:ascii="仿宋_GB2312" w:hAnsi="宋体" w:eastAsia="仿宋_GB2312" w:cs="仿宋_GB2312"/>
          <w:sz w:val="32"/>
          <w:szCs w:val="32"/>
        </w:rPr>
        <w:t>占</w:t>
      </w:r>
      <w:r>
        <w:rPr>
          <w:rFonts w:hint="eastAsia" w:ascii="仿宋_GB2312" w:hAnsi="宋体" w:eastAsia="仿宋_GB2312" w:cs="仿宋_GB2312"/>
          <w:sz w:val="32"/>
          <w:szCs w:val="32"/>
          <w:lang w:val="en-US" w:eastAsia="zh-CN"/>
        </w:rPr>
        <w:t>22.5</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rPr>
          <w:rFonts w:ascii="仿宋_GB2312" w:hAnsi="宋体" w:eastAsia="仿宋_GB2312" w:cs="Times New Roman"/>
          <w:sz w:val="32"/>
          <w:szCs w:val="32"/>
        </w:rPr>
      </w:pPr>
    </w:p>
    <w:p>
      <w:pPr>
        <w:numPr>
          <w:ilvl w:val="0"/>
          <w:numId w:val="6"/>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hint="eastAsia" w:ascii="仿宋_GB2312" w:hAnsi="宋体" w:eastAsia="仿宋_GB2312" w:cs="仿宋_GB2312"/>
          <w:sz w:val="32"/>
          <w:szCs w:val="32"/>
          <w:lang w:val="en-US" w:eastAsia="zh-CN"/>
        </w:rPr>
        <w:t>578.76</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1299.87</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224</w:t>
      </w:r>
      <w:r>
        <w:rPr>
          <w:rFonts w:ascii="仿宋_GB2312" w:hAnsi="宋体" w:eastAsia="仿宋_GB2312" w:cs="仿宋_GB2312"/>
          <w:sz w:val="32"/>
          <w:szCs w:val="32"/>
        </w:rPr>
        <w:t>%</w:t>
      </w:r>
      <w:r>
        <w:rPr>
          <w:rFonts w:hint="eastAsia" w:ascii="仿宋_GB2312" w:hAnsi="宋体" w:eastAsia="仿宋_GB2312" w:cs="仿宋_GB2312"/>
          <w:sz w:val="32"/>
          <w:szCs w:val="32"/>
        </w:rPr>
        <w:t>。决算数大于预算数的主要原因：</w:t>
      </w:r>
      <w:r>
        <w:rPr>
          <w:rFonts w:hint="eastAsia" w:ascii="仿宋_GB2312" w:hAnsi="宋体" w:eastAsia="仿宋_GB2312" w:cs="仿宋_GB2312"/>
          <w:sz w:val="32"/>
          <w:szCs w:val="32"/>
          <w:lang w:eastAsia="zh-CN"/>
        </w:rPr>
        <w:t>财政直接支付</w:t>
      </w:r>
      <w:r>
        <w:rPr>
          <w:rFonts w:hint="eastAsia" w:ascii="仿宋_GB2312" w:hAnsi="宋体" w:eastAsia="仿宋_GB2312" w:cs="仿宋_GB2312"/>
          <w:sz w:val="32"/>
          <w:szCs w:val="32"/>
          <w:lang w:val="en-US" w:eastAsia="zh-CN"/>
        </w:rPr>
        <w:t>S104项目建设用地开垦费、社保费、</w:t>
      </w:r>
      <w:r>
        <w:rPr>
          <w:rFonts w:hint="eastAsia" w:ascii="仿宋_GB2312" w:hAnsi="宋体" w:eastAsia="仿宋_GB2312" w:cs="仿宋_GB2312"/>
          <w:sz w:val="32"/>
          <w:szCs w:val="32"/>
          <w:lang w:eastAsia="zh-CN"/>
        </w:rPr>
        <w:t>南洋大道评估费、</w:t>
      </w:r>
      <w:r>
        <w:rPr>
          <w:rFonts w:hint="eastAsia" w:ascii="仿宋_GB2312" w:hAnsi="宋体" w:eastAsia="仿宋_GB2312" w:cs="仿宋_GB2312"/>
          <w:sz w:val="32"/>
          <w:szCs w:val="32"/>
          <w:lang w:val="en-US" w:eastAsia="zh-CN"/>
        </w:rPr>
        <w:t>北山治理第二阶段修复治理等费用</w:t>
      </w:r>
      <w:r>
        <w:rPr>
          <w:rFonts w:hint="eastAsia" w:ascii="仿宋_GB2312" w:hAnsi="宋体" w:eastAsia="仿宋_GB2312" w:cs="仿宋_GB2312"/>
          <w:sz w:val="32"/>
          <w:szCs w:val="32"/>
        </w:rPr>
        <w:t>。其中：</w:t>
      </w:r>
    </w:p>
    <w:p>
      <w:pPr>
        <w:numPr>
          <w:ilvl w:val="0"/>
          <w:numId w:val="7"/>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社会保障和就业（类）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ascii="仿宋_GB2312" w:hAnsi="宋体" w:eastAsia="仿宋_GB2312" w:cs="Times New Roman"/>
          <w:b/>
          <w:bCs/>
          <w:color w:val="auto"/>
          <w:sz w:val="32"/>
          <w:szCs w:val="32"/>
        </w:rPr>
      </w:pPr>
      <w:r>
        <w:rPr>
          <w:rFonts w:hint="eastAsia" w:ascii="仿宋_GB2312" w:hAnsi="宋体" w:eastAsia="仿宋_GB2312" w:cs="仿宋_GB2312"/>
          <w:sz w:val="32"/>
          <w:szCs w:val="32"/>
        </w:rPr>
        <w:t>年初预算为</w:t>
      </w:r>
      <w:r>
        <w:rPr>
          <w:rFonts w:hint="eastAsia" w:ascii="仿宋_GB2312" w:hAnsi="宋体" w:eastAsia="仿宋_GB2312" w:cs="仿宋_GB2312"/>
          <w:sz w:val="32"/>
          <w:szCs w:val="32"/>
          <w:lang w:val="en-US" w:eastAsia="zh-CN"/>
        </w:rPr>
        <w:t>3.2</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3.49</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109</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color w:val="auto"/>
          <w:sz w:val="32"/>
          <w:szCs w:val="32"/>
        </w:rPr>
        <w:t>决算数大于预算数的主要原因是</w:t>
      </w:r>
      <w:r>
        <w:rPr>
          <w:rFonts w:hint="eastAsia" w:ascii="仿宋_GB2312" w:hAnsi="宋体" w:eastAsia="仿宋_GB2312" w:cs="仿宋_GB2312"/>
          <w:color w:val="auto"/>
          <w:sz w:val="32"/>
          <w:szCs w:val="32"/>
          <w:lang w:eastAsia="zh-CN"/>
        </w:rPr>
        <w:t>退休人员增加退休费</w:t>
      </w:r>
      <w:r>
        <w:rPr>
          <w:rFonts w:hint="eastAsia" w:ascii="仿宋_GB2312" w:hAnsi="宋体" w:eastAsia="仿宋_GB2312" w:cs="仿宋_GB2312"/>
          <w:color w:val="auto"/>
          <w:sz w:val="32"/>
          <w:szCs w:val="32"/>
        </w:rPr>
        <w:t>。</w:t>
      </w:r>
    </w:p>
    <w:p>
      <w:pPr>
        <w:numPr>
          <w:ilvl w:val="0"/>
          <w:numId w:val="7"/>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城乡社区（类）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年初预算为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万元，支出决算为1000.42万元，完成年初预算的</w:t>
      </w:r>
      <w:r>
        <w:rPr>
          <w:rFonts w:hint="eastAsia" w:ascii="仿宋_GB2312" w:hAnsi="宋体" w:eastAsia="仿宋_GB2312" w:cs="仿宋_GB2312"/>
          <w:sz w:val="32"/>
          <w:szCs w:val="32"/>
          <w:lang w:val="en-US" w:eastAsia="zh-CN"/>
        </w:rPr>
        <w:t>1000</w:t>
      </w:r>
      <w:r>
        <w:rPr>
          <w:rFonts w:ascii="仿宋_GB2312" w:hAnsi="宋体" w:eastAsia="仿宋_GB2312" w:cs="仿宋_GB2312"/>
          <w:sz w:val="32"/>
          <w:szCs w:val="32"/>
        </w:rPr>
        <w:t>%</w:t>
      </w:r>
      <w:r>
        <w:rPr>
          <w:rFonts w:hint="eastAsia" w:ascii="仿宋_GB2312" w:hAnsi="宋体" w:eastAsia="仿宋_GB2312" w:cs="仿宋_GB2312"/>
          <w:sz w:val="32"/>
          <w:szCs w:val="32"/>
        </w:rPr>
        <w:t>。决算数大于预算数的主要原因是</w:t>
      </w:r>
      <w:r>
        <w:rPr>
          <w:rFonts w:hint="eastAsia" w:ascii="仿宋_GB2312" w:hAnsi="宋体" w:eastAsia="仿宋_GB2312" w:cs="仿宋_GB2312"/>
          <w:sz w:val="32"/>
          <w:szCs w:val="32"/>
          <w:lang w:eastAsia="zh-CN"/>
        </w:rPr>
        <w:t>财政直接支付</w:t>
      </w:r>
      <w:r>
        <w:rPr>
          <w:rFonts w:hint="eastAsia" w:ascii="仿宋_GB2312" w:hAnsi="宋体" w:eastAsia="仿宋_GB2312" w:cs="仿宋_GB2312"/>
          <w:sz w:val="32"/>
          <w:szCs w:val="32"/>
          <w:lang w:val="en-US" w:eastAsia="zh-CN"/>
        </w:rPr>
        <w:t>S104项目建设用地开垦费、社保费、北山治理第二阶段修复治理</w:t>
      </w:r>
      <w:r>
        <w:rPr>
          <w:rFonts w:hint="eastAsia" w:ascii="仿宋_GB2312" w:hAnsi="宋体" w:eastAsia="仿宋_GB2312" w:cs="仿宋_GB2312"/>
          <w:sz w:val="32"/>
          <w:szCs w:val="32"/>
        </w:rPr>
        <w:t>。</w:t>
      </w:r>
    </w:p>
    <w:p>
      <w:pPr>
        <w:numPr>
          <w:ilvl w:val="0"/>
          <w:numId w:val="7"/>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交通运输（类）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年初预算为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3.47</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347</w:t>
      </w:r>
      <w:r>
        <w:rPr>
          <w:rFonts w:ascii="仿宋_GB2312" w:hAnsi="宋体" w:eastAsia="仿宋_GB2312" w:cs="仿宋_GB2312"/>
          <w:sz w:val="32"/>
          <w:szCs w:val="32"/>
        </w:rPr>
        <w:t>%</w:t>
      </w:r>
      <w:r>
        <w:rPr>
          <w:rFonts w:hint="eastAsia" w:ascii="仿宋_GB2312" w:hAnsi="宋体" w:eastAsia="仿宋_GB2312" w:cs="仿宋_GB2312"/>
          <w:sz w:val="32"/>
          <w:szCs w:val="32"/>
        </w:rPr>
        <w:t>。决算数大于预算数的主要原因是</w:t>
      </w:r>
      <w:r>
        <w:rPr>
          <w:rFonts w:hint="eastAsia" w:ascii="仿宋_GB2312" w:hAnsi="宋体" w:eastAsia="仿宋_GB2312" w:cs="仿宋_GB2312"/>
          <w:sz w:val="32"/>
          <w:szCs w:val="32"/>
          <w:lang w:eastAsia="zh-CN"/>
        </w:rPr>
        <w:t>财政直接支付南洋大道评估费</w:t>
      </w:r>
      <w:r>
        <w:rPr>
          <w:rFonts w:hint="eastAsia" w:ascii="仿宋_GB2312" w:hAnsi="宋体" w:eastAsia="仿宋_GB2312" w:cs="仿宋_GB2312"/>
          <w:sz w:val="32"/>
          <w:szCs w:val="32"/>
        </w:rPr>
        <w:t>。</w:t>
      </w:r>
    </w:p>
    <w:p>
      <w:pPr>
        <w:numPr>
          <w:ilvl w:val="0"/>
          <w:numId w:val="7"/>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国土海洋气象等（类）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年初预算为</w:t>
      </w:r>
      <w:r>
        <w:rPr>
          <w:rFonts w:hint="eastAsia" w:ascii="仿宋_GB2312" w:hAnsi="宋体" w:eastAsia="仿宋_GB2312" w:cs="仿宋_GB2312"/>
          <w:sz w:val="32"/>
          <w:szCs w:val="32"/>
          <w:lang w:val="en-US" w:eastAsia="zh-CN"/>
        </w:rPr>
        <w:t>575.56</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292.5</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50.82</w:t>
      </w:r>
      <w:r>
        <w:rPr>
          <w:rFonts w:ascii="仿宋_GB2312" w:hAnsi="宋体" w:eastAsia="仿宋_GB2312" w:cs="仿宋_GB2312"/>
          <w:sz w:val="32"/>
          <w:szCs w:val="32"/>
        </w:rPr>
        <w:t>%</w:t>
      </w:r>
      <w:r>
        <w:rPr>
          <w:rFonts w:hint="eastAsia" w:ascii="仿宋_GB2312" w:hAnsi="宋体" w:eastAsia="仿宋_GB2312" w:cs="仿宋_GB2312"/>
          <w:sz w:val="32"/>
          <w:szCs w:val="32"/>
        </w:rPr>
        <w:t>。决算数</w:t>
      </w:r>
      <w:r>
        <w:rPr>
          <w:rFonts w:hint="eastAsia" w:ascii="仿宋_GB2312" w:hAnsi="宋体" w:eastAsia="仿宋_GB2312" w:cs="仿宋_GB2312"/>
          <w:sz w:val="32"/>
          <w:szCs w:val="32"/>
          <w:lang w:eastAsia="zh-CN"/>
        </w:rPr>
        <w:t>小</w:t>
      </w:r>
      <w:r>
        <w:rPr>
          <w:rFonts w:hint="eastAsia" w:ascii="仿宋_GB2312" w:hAnsi="宋体" w:eastAsia="仿宋_GB2312" w:cs="仿宋_GB2312"/>
          <w:sz w:val="32"/>
          <w:szCs w:val="32"/>
        </w:rPr>
        <w:t>于预算数的主要原因是部分业务未按原计划开展。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hint="eastAsia" w:ascii="仿宋_GB2312" w:hAnsi="宋体" w:eastAsia="仿宋_GB2312" w:cs="仿宋_GB2312"/>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hint="eastAsia" w:ascii="仿宋_GB2312" w:hAnsi="宋体" w:eastAsia="仿宋_GB2312" w:cs="仿宋_GB2312"/>
          <w:sz w:val="32"/>
          <w:szCs w:val="32"/>
          <w:lang w:val="en-US" w:eastAsia="zh-CN"/>
        </w:rPr>
        <w:t>171.72</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hint="eastAsia" w:ascii="仿宋_GB2312" w:hAnsi="Times New Roman" w:eastAsia="仿宋_GB2312" w:cs="仿宋_GB2312"/>
          <w:spacing w:val="-1"/>
          <w:kern w:val="0"/>
          <w:sz w:val="32"/>
          <w:szCs w:val="32"/>
          <w:lang w:val="en-US" w:eastAsia="zh-CN"/>
        </w:rPr>
        <w:t>152.79</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，主要包括：基本工资106.15</w:t>
      </w:r>
      <w:r>
        <w:rPr>
          <w:rFonts w:hint="eastAsia" w:ascii="仿宋_GB2312" w:hAnsi="宋体" w:eastAsia="仿宋_GB2312" w:cs="仿宋_GB2312"/>
          <w:sz w:val="32"/>
          <w:szCs w:val="32"/>
          <w:lang w:eastAsia="zh-CN"/>
        </w:rPr>
        <w:t>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奖金9.3万元</w:t>
      </w:r>
      <w:r>
        <w:rPr>
          <w:rFonts w:hint="eastAsia" w:ascii="仿宋_GB2312" w:hAnsi="宋体" w:eastAsia="仿宋_GB2312" w:cs="仿宋_GB2312"/>
          <w:sz w:val="32"/>
          <w:szCs w:val="32"/>
        </w:rPr>
        <w:t>、伙食补助费0.46</w:t>
      </w:r>
      <w:r>
        <w:rPr>
          <w:rFonts w:hint="eastAsia" w:ascii="仿宋_GB2312" w:hAnsi="宋体" w:eastAsia="仿宋_GB2312" w:cs="仿宋_GB2312"/>
          <w:sz w:val="32"/>
          <w:szCs w:val="32"/>
          <w:lang w:eastAsia="zh-CN"/>
        </w:rPr>
        <w:t>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退休费3.49万元、生活补助0.91万元、医疗费15.97万元、奖励金2.66万元、住房公积金13.56万元、其他对个人和家庭的补助支出0.29万元</w:t>
      </w:r>
      <w:r>
        <w:rPr>
          <w:rFonts w:hint="eastAsia" w:ascii="仿宋_GB2312" w:hAnsi="宋体" w:eastAsia="仿宋_GB2312" w:cs="仿宋_GB2312"/>
          <w:sz w:val="32"/>
          <w:szCs w:val="32"/>
        </w:rPr>
        <w:t>；</w:t>
      </w:r>
      <w:r>
        <w:rPr>
          <w:rFonts w:hint="eastAsia" w:ascii="仿宋_GB2312" w:hAnsi="Times New Roman" w:eastAsia="仿宋_GB2312" w:cs="仿宋_GB2312"/>
          <w:b/>
          <w:bCs/>
          <w:spacing w:val="-1"/>
          <w:kern w:val="0"/>
          <w:sz w:val="32"/>
          <w:szCs w:val="32"/>
        </w:rPr>
        <w:t>公用经费</w:t>
      </w:r>
      <w:r>
        <w:rPr>
          <w:rFonts w:hint="eastAsia" w:ascii="仿宋_GB2312" w:hAnsi="Times New Roman" w:eastAsia="仿宋_GB2312" w:cs="仿宋_GB2312"/>
          <w:spacing w:val="-2"/>
          <w:kern w:val="0"/>
          <w:sz w:val="32"/>
          <w:szCs w:val="32"/>
          <w:lang w:val="en-US" w:eastAsia="zh-CN"/>
        </w:rPr>
        <w:t>18.93</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hint="eastAsia" w:ascii="仿宋_GB2312" w:hAnsi="宋体" w:eastAsia="仿宋_GB2312" w:cs="仿宋_GB2312"/>
          <w:sz w:val="32"/>
          <w:szCs w:val="32"/>
          <w:lang w:val="en-US" w:eastAsia="zh-CN"/>
        </w:rPr>
        <w:t>4.88万元、印刷费1.24万元、水费0.14万元、邮电费1.79万元、取暖费4.35万元、差旅费0.34万元、维修（护）费0.01万元、培训费0.33万元、公务接待费1.27万元、委托业务费0.07万元、工会经费2.03万元、福利费0.3万元、公务用车运行维护费2.06万元、其他商品和服务支出0.14万元</w:t>
      </w:r>
      <w:r>
        <w:rPr>
          <w:rFonts w:hint="eastAsia" w:ascii="仿宋_GB2312" w:hAnsi="宋体" w:eastAsia="仿宋_GB2312" w:cs="仿宋_GB2312"/>
          <w:sz w:val="32"/>
          <w:szCs w:val="32"/>
        </w:rPr>
        <w:t>。</w:t>
      </w:r>
    </w:p>
    <w:p>
      <w:pPr>
        <w:adjustRightInd w:val="0"/>
        <w:snapToGrid w:val="0"/>
        <w:spacing w:line="360" w:lineRule="auto"/>
        <w:ind w:firstLine="640" w:firstLineChars="200"/>
        <w:rPr>
          <w:rFonts w:hint="eastAsia" w:ascii="仿宋_GB2312" w:hAnsi="宋体" w:eastAsia="仿宋_GB2312" w:cs="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hint="eastAsia" w:ascii="仿宋_GB2312" w:hAnsi="宋体" w:eastAsia="仿宋_GB2312" w:cs="仿宋_GB2312"/>
          <w:sz w:val="32"/>
          <w:szCs w:val="32"/>
          <w:lang w:val="en-US" w:eastAsia="zh-CN"/>
        </w:rPr>
        <w:t>11.12</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3.33</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30</w:t>
      </w:r>
      <w:r>
        <w:rPr>
          <w:rFonts w:ascii="仿宋_GB2312" w:hAnsi="宋体" w:eastAsia="仿宋_GB2312" w:cs="仿宋_GB2312"/>
          <w:sz w:val="32"/>
          <w:szCs w:val="32"/>
        </w:rPr>
        <w:t>%</w:t>
      </w:r>
      <w:r>
        <w:rPr>
          <w:rFonts w:hint="eastAsia" w:ascii="仿宋_GB2312" w:hAnsi="宋体" w:eastAsia="仿宋_GB2312" w:cs="仿宋_GB2312"/>
          <w:sz w:val="32"/>
          <w:szCs w:val="32"/>
        </w:rPr>
        <w:t>，其中：因公出国（境）费支出决算为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；公务用车购置及运行费支出决算为</w:t>
      </w:r>
      <w:r>
        <w:rPr>
          <w:rFonts w:hint="eastAsia" w:ascii="仿宋_GB2312" w:hAnsi="宋体" w:eastAsia="仿宋_GB2312" w:cs="仿宋_GB2312"/>
          <w:sz w:val="32"/>
          <w:szCs w:val="32"/>
          <w:lang w:val="en-US" w:eastAsia="zh-CN"/>
        </w:rPr>
        <w:t>2.06</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26.75</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；公务接待费支出决算为</w:t>
      </w:r>
      <w:r>
        <w:rPr>
          <w:rFonts w:hint="eastAsia" w:ascii="仿宋_GB2312" w:hAnsi="宋体" w:eastAsia="仿宋_GB2312" w:cs="仿宋_GB2312"/>
          <w:sz w:val="32"/>
          <w:szCs w:val="32"/>
          <w:lang w:val="en-US" w:eastAsia="zh-CN"/>
        </w:rPr>
        <w:t>1.27</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37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年度“三公”经费支出决算数小于预算数的主要原因是</w:t>
      </w:r>
      <w:r>
        <w:rPr>
          <w:rFonts w:hint="default" w:ascii="仿宋_GB2312" w:hAnsi="仿宋_GB2312" w:eastAsia="仿宋_GB2312"/>
          <w:b w:val="0"/>
          <w:i w:val="0"/>
          <w:color w:val="111111"/>
          <w:sz w:val="32"/>
          <w:lang w:eastAsia="zh-CN"/>
        </w:rPr>
        <w:t>厉行节约，严格执行公务接待相关管理规定。</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2015</w:t>
      </w:r>
      <w:r>
        <w:rPr>
          <w:rFonts w:hint="eastAsia" w:ascii="仿宋_GB2312" w:hAnsi="宋体" w:eastAsia="仿宋_GB2312" w:cs="仿宋_GB2312"/>
          <w:sz w:val="32"/>
          <w:szCs w:val="32"/>
        </w:rPr>
        <w:t>年减少</w:t>
      </w:r>
      <w:r>
        <w:rPr>
          <w:rFonts w:hint="eastAsia" w:ascii="仿宋_GB2312" w:hAnsi="宋体" w:eastAsia="仿宋_GB2312" w:cs="仿宋_GB2312"/>
          <w:sz w:val="32"/>
          <w:szCs w:val="32"/>
          <w:lang w:val="en-US" w:eastAsia="zh-CN"/>
        </w:rPr>
        <w:t>5.9</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63</w:t>
      </w:r>
      <w:r>
        <w:rPr>
          <w:rFonts w:ascii="仿宋_GB2312" w:hAnsi="宋体" w:eastAsia="仿宋_GB2312" w:cs="仿宋_GB2312"/>
          <w:sz w:val="32"/>
          <w:szCs w:val="32"/>
        </w:rPr>
        <w:t>%</w:t>
      </w:r>
      <w:r>
        <w:rPr>
          <w:rFonts w:hint="eastAsia" w:ascii="仿宋_GB2312" w:hAnsi="宋体" w:eastAsia="仿宋_GB2312" w:cs="仿宋_GB2312"/>
          <w:sz w:val="32"/>
          <w:szCs w:val="32"/>
        </w:rPr>
        <w:t>，其中：因公出国（境）费支出决算增加（减少）</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万元，增长（下降）</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；公务用车购置及运行费支出决算减少</w:t>
      </w:r>
      <w:r>
        <w:rPr>
          <w:rFonts w:hint="eastAsia" w:ascii="仿宋_GB2312" w:hAnsi="宋体" w:eastAsia="仿宋_GB2312" w:cs="仿宋_GB2312"/>
          <w:sz w:val="32"/>
          <w:szCs w:val="32"/>
          <w:lang w:val="en-US" w:eastAsia="zh-CN"/>
        </w:rPr>
        <w:t>5.64</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73</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；公务接待费支出决算减少</w:t>
      </w:r>
      <w:r>
        <w:rPr>
          <w:rFonts w:hint="eastAsia" w:ascii="仿宋_GB2312" w:hAnsi="宋体" w:eastAsia="仿宋_GB2312" w:cs="仿宋_GB2312"/>
          <w:sz w:val="32"/>
          <w:szCs w:val="32"/>
          <w:lang w:val="en-US" w:eastAsia="zh-CN"/>
        </w:rPr>
        <w:t>0.26</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17</w:t>
      </w:r>
      <w:r>
        <w:rPr>
          <w:rFonts w:ascii="仿宋_GB2312" w:hAnsi="宋体" w:eastAsia="仿宋_GB2312" w:cs="仿宋_GB2312"/>
          <w:sz w:val="32"/>
          <w:szCs w:val="32"/>
        </w:rPr>
        <w:t>%</w:t>
      </w:r>
      <w:r>
        <w:rPr>
          <w:rFonts w:hint="eastAsia" w:ascii="仿宋_GB2312" w:hAnsi="宋体" w:eastAsia="仿宋_GB2312" w:cs="仿宋_GB2312"/>
          <w:sz w:val="32"/>
          <w:szCs w:val="32"/>
        </w:rPr>
        <w:t>。因公出国（境）费支出增加（减少）的主要原因是</w:t>
      </w:r>
      <w:r>
        <w:rPr>
          <w:rFonts w:hint="default" w:ascii="仿宋_GB2312" w:hAnsi="仿宋_GB2312" w:eastAsia="仿宋_GB2312"/>
          <w:b w:val="0"/>
          <w:i w:val="0"/>
          <w:color w:val="111111"/>
          <w:sz w:val="32"/>
          <w:lang w:eastAsia="zh-CN"/>
        </w:rPr>
        <w:t>无因公出国（境）情况</w:t>
      </w:r>
      <w:r>
        <w:rPr>
          <w:rFonts w:hint="eastAsia" w:ascii="仿宋_GB2312" w:hAnsi="宋体" w:eastAsia="仿宋_GB2312" w:cs="仿宋_GB2312"/>
          <w:sz w:val="32"/>
          <w:szCs w:val="32"/>
        </w:rPr>
        <w:t>；公务用车购置及运行费支出减少的主要原因是</w:t>
      </w:r>
      <w:r>
        <w:rPr>
          <w:rFonts w:hint="eastAsia" w:ascii="仿宋_GB2312" w:hAnsi="宋体" w:eastAsia="仿宋_GB2312" w:cs="仿宋_GB2312"/>
          <w:sz w:val="32"/>
          <w:szCs w:val="32"/>
          <w:lang w:eastAsia="zh-CN"/>
        </w:rPr>
        <w:t>用车减少</w:t>
      </w:r>
      <w:r>
        <w:rPr>
          <w:rFonts w:hint="eastAsia" w:ascii="仿宋_GB2312" w:hAnsi="宋体" w:eastAsia="仿宋_GB2312" w:cs="仿宋_GB2312"/>
          <w:sz w:val="32"/>
          <w:szCs w:val="32"/>
        </w:rPr>
        <w:t>；公务接待费支出减少的主要原因是</w:t>
      </w:r>
      <w:r>
        <w:rPr>
          <w:rFonts w:hint="default" w:ascii="仿宋_GB2312" w:hAnsi="仿宋_GB2312" w:eastAsia="仿宋_GB2312"/>
          <w:b w:val="0"/>
          <w:i w:val="0"/>
          <w:color w:val="111111"/>
          <w:sz w:val="32"/>
          <w:lang w:eastAsia="zh-CN"/>
        </w:rPr>
        <w:t>厉行节约，严格执行公务接待相关管理规定</w:t>
      </w:r>
      <w:r>
        <w:rPr>
          <w:rFonts w:hint="eastAsia" w:ascii="仿宋_GB2312" w:hAnsi="宋体" w:eastAsia="仿宋_GB2312" w:cs="仿宋_GB2312"/>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年度“三公”经费财政拨款支出决算中，因公出国（境）费支出决算</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；公务用车购置及运行费支出决算</w:t>
      </w:r>
      <w:r>
        <w:rPr>
          <w:rFonts w:hint="eastAsia" w:ascii="仿宋_GB2312" w:hAnsi="宋体" w:eastAsia="仿宋_GB2312" w:cs="仿宋_GB2312"/>
          <w:sz w:val="32"/>
          <w:szCs w:val="32"/>
          <w:lang w:val="en-US" w:eastAsia="zh-CN"/>
        </w:rPr>
        <w:t>2.06</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61.86</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w:t>
      </w:r>
      <w:r>
        <w:rPr>
          <w:rFonts w:hint="eastAsia" w:ascii="仿宋_GB2312" w:hAnsi="宋体" w:eastAsia="仿宋_GB2312" w:cs="仿宋_GB2312"/>
          <w:sz w:val="32"/>
          <w:szCs w:val="32"/>
          <w:lang w:val="en-US" w:eastAsia="zh-CN"/>
        </w:rPr>
        <w:t>1.27</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38.14</w:t>
      </w:r>
      <w:r>
        <w:rPr>
          <w:rFonts w:ascii="仿宋_GB2312" w:hAnsi="宋体" w:eastAsia="仿宋_GB2312" w:cs="仿宋_GB2312"/>
          <w:sz w:val="32"/>
          <w:szCs w:val="32"/>
        </w:rPr>
        <w:t>%</w:t>
      </w:r>
      <w:r>
        <w:rPr>
          <w:rFonts w:hint="eastAsia" w:ascii="仿宋_GB2312" w:hAnsi="宋体" w:eastAsia="仿宋_GB2312" w:cs="仿宋_GB2312"/>
          <w:sz w:val="32"/>
          <w:szCs w:val="32"/>
        </w:rPr>
        <w:t>。具体情况如下：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bCs/>
          <w:sz w:val="32"/>
          <w:szCs w:val="32"/>
        </w:rPr>
        <w:t>因公出国（境）费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万元。全年安排局机关单位因公出国（境）团组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个，累计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人次。</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公务用车购置及运行费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2.06</w:t>
      </w:r>
      <w:r>
        <w:rPr>
          <w:rFonts w:hint="eastAsia" w:ascii="仿宋_GB2312" w:hAnsi="宋体"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公务用车购置</w:t>
      </w:r>
      <w:r>
        <w:rPr>
          <w:rFonts w:hint="eastAsia" w:ascii="仿宋_GB2312" w:hAnsi="宋体" w:eastAsia="仿宋_GB2312" w:cs="仿宋_GB2312"/>
          <w:sz w:val="32"/>
          <w:szCs w:val="32"/>
        </w:rPr>
        <w:t>支出为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b/>
          <w:bCs/>
          <w:sz w:val="32"/>
          <w:szCs w:val="32"/>
        </w:rPr>
        <w:t>公务用车运行</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2.06</w:t>
      </w:r>
      <w:r>
        <w:rPr>
          <w:rFonts w:hint="eastAsia" w:ascii="仿宋_GB2312" w:hAnsi="宋体" w:eastAsia="仿宋_GB2312" w:cs="仿宋_GB2312"/>
          <w:sz w:val="32"/>
          <w:szCs w:val="32"/>
        </w:rPr>
        <w:t>万元。</w:t>
      </w:r>
    </w:p>
    <w:p>
      <w:pPr>
        <w:numPr>
          <w:ilvl w:val="0"/>
          <w:numId w:val="9"/>
        </w:numPr>
        <w:kinsoku w:val="0"/>
        <w:overflowPunct w:val="0"/>
        <w:autoSpaceDE w:val="0"/>
        <w:autoSpaceDN w:val="0"/>
        <w:adjustRightInd w:val="0"/>
        <w:snapToGrid w:val="0"/>
        <w:spacing w:line="360" w:lineRule="auto"/>
        <w:ind w:firstLine="643" w:firstLineChars="200"/>
        <w:rPr>
          <w:rFonts w:hint="eastAsia" w:ascii="宋体" w:hAnsi="宋体" w:cs="宋体"/>
          <w:sz w:val="24"/>
          <w:szCs w:val="24"/>
        </w:rPr>
      </w:pPr>
      <w:r>
        <w:rPr>
          <w:rFonts w:hint="eastAsia" w:ascii="仿宋_GB2312" w:hAnsi="宋体" w:eastAsia="仿宋_GB2312" w:cs="仿宋_GB2312"/>
          <w:b/>
          <w:bCs/>
          <w:sz w:val="32"/>
          <w:szCs w:val="32"/>
        </w:rPr>
        <w:t>公务接待费支出</w:t>
      </w:r>
      <w:r>
        <w:rPr>
          <w:rFonts w:hint="eastAsia" w:ascii="仿宋_GB2312" w:hAnsi="宋体" w:eastAsia="仿宋_GB2312" w:cs="仿宋_GB2312"/>
          <w:b/>
          <w:bCs/>
          <w:sz w:val="32"/>
          <w:szCs w:val="32"/>
          <w:lang w:val="en-US" w:eastAsia="zh-CN"/>
        </w:rPr>
        <w:t>1.27</w:t>
      </w:r>
      <w:r>
        <w:rPr>
          <w:rFonts w:hint="eastAsia" w:ascii="仿宋_GB2312" w:hAnsi="宋体" w:eastAsia="仿宋_GB2312" w:cs="仿宋_GB2312"/>
          <w:b/>
          <w:bCs/>
          <w:sz w:val="32"/>
          <w:szCs w:val="32"/>
        </w:rPr>
        <w:t>万元。</w:t>
      </w:r>
      <w:r>
        <w:rPr>
          <w:rFonts w:hint="eastAsia" w:ascii="仿宋_GB2312" w:hAnsi="宋体" w:eastAsia="仿宋_GB2312" w:cs="仿宋_GB2312"/>
          <w:sz w:val="32"/>
          <w:szCs w:val="32"/>
        </w:rPr>
        <w:t>主要用于</w:t>
      </w:r>
      <w:r>
        <w:rPr>
          <w:rFonts w:hint="eastAsia" w:ascii="仿宋_GB2312" w:hAnsi="宋体" w:eastAsia="仿宋_GB2312" w:cs="仿宋_GB2312"/>
          <w:sz w:val="32"/>
          <w:szCs w:val="32"/>
          <w:lang w:eastAsia="zh-CN"/>
        </w:rPr>
        <w:t>业务科室加班等</w:t>
      </w:r>
      <w:r>
        <w:rPr>
          <w:rFonts w:hint="eastAsia" w:ascii="仿宋_GB2312" w:hAnsi="宋体" w:eastAsia="仿宋_GB2312" w:cs="仿宋_GB2312"/>
          <w:sz w:val="32"/>
          <w:szCs w:val="32"/>
        </w:rPr>
        <w:t>。</w:t>
      </w:r>
      <w:r>
        <w:rPr>
          <w:rFonts w:ascii="仿宋_GB2312" w:hAnsi="宋体" w:eastAsia="仿宋_GB2312" w:cs="仿宋_GB2312"/>
          <w:sz w:val="32"/>
          <w:szCs w:val="32"/>
        </w:rPr>
        <w:t>2016</w:t>
      </w:r>
      <w:r>
        <w:rPr>
          <w:rFonts w:hint="eastAsia" w:ascii="仿宋_GB2312" w:hAnsi="宋体" w:eastAsia="仿宋_GB2312" w:cs="仿宋_GB2312"/>
          <w:sz w:val="32"/>
          <w:szCs w:val="32"/>
        </w:rPr>
        <w:t>年度共接待国内来访团组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个、来访人员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人次（不包括陪同人员）。</w:t>
      </w:r>
    </w:p>
    <w:p>
      <w:pPr>
        <w:adjustRightInd w:val="0"/>
        <w:snapToGrid w:val="0"/>
        <w:spacing w:line="360" w:lineRule="auto"/>
        <w:jc w:val="center"/>
        <w:rPr>
          <w:rFonts w:hint="eastAsia" w:ascii="宋体" w:hAnsi="宋体" w:cs="宋体"/>
          <w:sz w:val="24"/>
          <w:szCs w:val="24"/>
        </w:rPr>
      </w:pP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年度政府性基金预算财政拨款支出年初结转和结余为6014.54万元，支出决算为340.55万元，完成</w:t>
      </w:r>
      <w:r>
        <w:rPr>
          <w:rFonts w:hint="eastAsia" w:ascii="仿宋_GB2312" w:hAnsi="宋体" w:eastAsia="仿宋_GB2312" w:cs="仿宋_GB2312"/>
          <w:sz w:val="32"/>
          <w:szCs w:val="32"/>
          <w:lang w:val="en-US" w:eastAsia="zh-CN"/>
        </w:rPr>
        <w:t>5.66</w:t>
      </w:r>
      <w:r>
        <w:rPr>
          <w:rFonts w:ascii="仿宋_GB2312" w:hAnsi="宋体" w:eastAsia="仿宋_GB2312" w:cs="仿宋_GB2312"/>
          <w:sz w:val="32"/>
          <w:szCs w:val="32"/>
        </w:rPr>
        <w:t>%</w:t>
      </w:r>
      <w:r>
        <w:rPr>
          <w:rFonts w:hint="eastAsia" w:ascii="仿宋_GB2312" w:hAnsi="宋体" w:eastAsia="仿宋_GB2312" w:cs="仿宋_GB2312"/>
          <w:sz w:val="32"/>
          <w:szCs w:val="32"/>
        </w:rPr>
        <w:t>。主要用于焦作新区苏家作乡等（3）个乡镇土地整治项目</w:t>
      </w:r>
      <w:r>
        <w:rPr>
          <w:rFonts w:hint="eastAsia" w:ascii="仿宋_GB2312" w:hAnsi="宋体" w:eastAsia="仿宋_GB2312" w:cs="仿宋_GB2312"/>
          <w:sz w:val="32"/>
          <w:szCs w:val="32"/>
          <w:lang w:eastAsia="zh-CN"/>
        </w:rPr>
        <w:t>支付工程款、编制费等</w:t>
      </w:r>
      <w:r>
        <w:rPr>
          <w:rFonts w:hint="eastAsia" w:ascii="仿宋_GB2312" w:hAnsi="宋体" w:eastAsia="仿宋_GB2312" w:cs="仿宋_GB2312"/>
          <w:sz w:val="32"/>
          <w:szCs w:val="32"/>
        </w:rPr>
        <w:t>。其中焦作新区苏家作乡等（3）个乡镇土地整治项目年末结转和结余资金数额较大，主要原因：</w:t>
      </w:r>
      <w:r>
        <w:rPr>
          <w:rFonts w:hint="eastAsia" w:ascii="仿宋_GB2312" w:hAnsi="宋体" w:eastAsia="仿宋_GB2312" w:cs="仿宋_GB2312"/>
          <w:sz w:val="32"/>
          <w:szCs w:val="32"/>
          <w:lang w:eastAsia="zh-CN"/>
        </w:rPr>
        <w:t>工程正在进行，无法支付款项</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年度机关运行经费支出216.6万元，比</w:t>
      </w:r>
      <w:r>
        <w:rPr>
          <w:rFonts w:ascii="仿宋_GB2312" w:hAnsi="宋体" w:eastAsia="仿宋_GB2312" w:cs="仿宋_GB2312"/>
          <w:sz w:val="32"/>
          <w:szCs w:val="32"/>
        </w:rPr>
        <w:t>2015</w:t>
      </w:r>
      <w:r>
        <w:rPr>
          <w:rFonts w:hint="eastAsia" w:ascii="仿宋_GB2312" w:hAnsi="宋体" w:eastAsia="仿宋_GB2312" w:cs="仿宋_GB2312"/>
          <w:sz w:val="32"/>
          <w:szCs w:val="32"/>
        </w:rPr>
        <w:t>年减少</w:t>
      </w:r>
      <w:r>
        <w:rPr>
          <w:rFonts w:hint="eastAsia" w:ascii="仿宋_GB2312" w:hAnsi="宋体" w:eastAsia="仿宋_GB2312" w:cs="仿宋_GB2312"/>
          <w:sz w:val="32"/>
          <w:szCs w:val="32"/>
          <w:lang w:val="en-US" w:eastAsia="zh-CN"/>
        </w:rPr>
        <w:t>75.59</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25</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年度政府采购支出总额</w:t>
      </w:r>
      <w:r>
        <w:rPr>
          <w:rFonts w:hint="eastAsia" w:ascii="仿宋_GB2312" w:hAnsi="宋体" w:eastAsia="仿宋_GB2312" w:cs="仿宋_GB2312"/>
          <w:sz w:val="32"/>
          <w:szCs w:val="32"/>
          <w:lang w:val="en-US" w:eastAsia="zh-CN"/>
        </w:rPr>
        <w:t>3.5</w:t>
      </w:r>
      <w:r>
        <w:rPr>
          <w:rFonts w:hint="eastAsia" w:ascii="仿宋_GB2312" w:hAnsi="宋体" w:eastAsia="仿宋_GB2312" w:cs="仿宋_GB2312"/>
          <w:sz w:val="32"/>
          <w:szCs w:val="32"/>
        </w:rPr>
        <w:t>万元，其中：政府采购货物支出</w:t>
      </w:r>
      <w:r>
        <w:rPr>
          <w:rFonts w:hint="eastAsia" w:ascii="仿宋_GB2312" w:hAnsi="宋体" w:eastAsia="仿宋_GB2312" w:cs="仿宋_GB2312"/>
          <w:sz w:val="32"/>
          <w:szCs w:val="32"/>
          <w:lang w:val="en-US" w:eastAsia="zh-CN"/>
        </w:rPr>
        <w:t>3.5</w:t>
      </w:r>
      <w:r>
        <w:rPr>
          <w:rFonts w:hint="eastAsia" w:ascii="仿宋_GB2312" w:hAnsi="宋体" w:eastAsia="仿宋_GB2312" w:cs="仿宋_GB2312"/>
          <w:sz w:val="32"/>
          <w:szCs w:val="32"/>
        </w:rPr>
        <w:t>万元，政府采购工程支出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万元，政府采购服务支出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Lucida Sans Typewriter">
    <w:panose1 w:val="020B0509030504030204"/>
    <w:charset w:val="00"/>
    <w:family w:val="auto"/>
    <w:pitch w:val="default"/>
    <w:sig w:usb0="00000003" w:usb1="00000000" w:usb2="00000000" w:usb3="00000000" w:csb0="20000001" w:csb1="00000000"/>
  </w:font>
  <w:font w:name="Wingdings 2">
    <w:panose1 w:val="05020102010507070707"/>
    <w:charset w:val="02"/>
    <w:family w:val="auto"/>
    <w:pitch w:val="default"/>
    <w:sig w:usb0="00000000" w:usb1="00000000" w:usb2="00000000" w:usb3="00000000" w:csb0="80000000" w:csb1="00000000"/>
  </w:font>
  <w:font w:name="Consolas">
    <w:panose1 w:val="020B0609020204030204"/>
    <w:charset w:val="00"/>
    <w:family w:val="auto"/>
    <w:pitch w:val="default"/>
    <w:sig w:usb0="E10002FF" w:usb1="4000FCFF" w:usb2="00000009" w:usb3="00000000" w:csb0="6000019F" w:csb1="DFD70000"/>
  </w:font>
  <w:font w:name="Bookshelf Symbol 7">
    <w:panose1 w:val="05010101010101010101"/>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Greek">
    <w:altName w:val="Times New Roman"/>
    <w:panose1 w:val="00000000000000000000"/>
    <w:charset w:val="A1"/>
    <w:family w:val="roman"/>
    <w:pitch w:val="default"/>
    <w:sig w:usb0="00000000" w:usb1="00000000" w:usb2="00000000" w:usb3="00000000" w:csb0="00000008" w:csb1="00000000"/>
  </w:font>
  <w:font w:name="Times New Roman Tur">
    <w:altName w:val="Times New Roman"/>
    <w:panose1 w:val="00000000000000000000"/>
    <w:charset w:val="A2"/>
    <w:family w:val="roman"/>
    <w:pitch w:val="default"/>
    <w:sig w:usb0="00000000" w:usb1="00000000" w:usb2="00000000" w:usb3="00000000" w:csb0="0000001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- 26 -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firstLine="400"/>
      </w:pPr>
      <w:rPr>
        <w:rFonts w:hint="default"/>
      </w:rPr>
    </w:lvl>
  </w:abstractNum>
  <w:abstractNum w:abstractNumId="9">
    <w:nsid w:val="5971EDEF"/>
    <w:multiLevelType w:val="singleLevel"/>
    <w:tmpl w:val="5971EDEF"/>
    <w:lvl w:ilvl="0" w:tentative="0">
      <w:start w:val="1"/>
      <w:numFmt w:val="chineseCounting"/>
      <w:suff w:val="nothing"/>
      <w:lvlText w:val="（%1）"/>
      <w:lvlJc w:val="left"/>
      <w:pPr>
        <w:ind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B5A03"/>
    <w:rsid w:val="001150B0"/>
    <w:rsid w:val="00172A27"/>
    <w:rsid w:val="002511EF"/>
    <w:rsid w:val="00271709"/>
    <w:rsid w:val="002929B4"/>
    <w:rsid w:val="0088481D"/>
    <w:rsid w:val="009108DE"/>
    <w:rsid w:val="00B458CF"/>
    <w:rsid w:val="00CD71F9"/>
    <w:rsid w:val="00DF7441"/>
    <w:rsid w:val="00E3013E"/>
    <w:rsid w:val="00E30287"/>
    <w:rsid w:val="0254688A"/>
    <w:rsid w:val="04453648"/>
    <w:rsid w:val="04C37D46"/>
    <w:rsid w:val="05DB00B9"/>
    <w:rsid w:val="061E01D6"/>
    <w:rsid w:val="09977EA2"/>
    <w:rsid w:val="09BB2134"/>
    <w:rsid w:val="0C0E40B8"/>
    <w:rsid w:val="0C633202"/>
    <w:rsid w:val="0CA434B9"/>
    <w:rsid w:val="0D8170B4"/>
    <w:rsid w:val="0E4C156E"/>
    <w:rsid w:val="0ED61EF8"/>
    <w:rsid w:val="10BD4691"/>
    <w:rsid w:val="11585E8B"/>
    <w:rsid w:val="12305E33"/>
    <w:rsid w:val="15185292"/>
    <w:rsid w:val="15492582"/>
    <w:rsid w:val="15584C7E"/>
    <w:rsid w:val="167D3273"/>
    <w:rsid w:val="18F44D57"/>
    <w:rsid w:val="1A367B13"/>
    <w:rsid w:val="1CFA6288"/>
    <w:rsid w:val="1D1A01E0"/>
    <w:rsid w:val="1D270939"/>
    <w:rsid w:val="1D415527"/>
    <w:rsid w:val="1D9F1AA5"/>
    <w:rsid w:val="1E7D3B34"/>
    <w:rsid w:val="22317FC7"/>
    <w:rsid w:val="225B753F"/>
    <w:rsid w:val="22A51050"/>
    <w:rsid w:val="22EF454C"/>
    <w:rsid w:val="24826922"/>
    <w:rsid w:val="24AC009C"/>
    <w:rsid w:val="264E52BB"/>
    <w:rsid w:val="268255E1"/>
    <w:rsid w:val="26EC78FE"/>
    <w:rsid w:val="283D43BA"/>
    <w:rsid w:val="29B70F08"/>
    <w:rsid w:val="2BA4769A"/>
    <w:rsid w:val="2CD06EF4"/>
    <w:rsid w:val="2EAB3A52"/>
    <w:rsid w:val="2EF30994"/>
    <w:rsid w:val="2F335194"/>
    <w:rsid w:val="30963758"/>
    <w:rsid w:val="30B3733E"/>
    <w:rsid w:val="32287B3D"/>
    <w:rsid w:val="32EF40CE"/>
    <w:rsid w:val="339A6455"/>
    <w:rsid w:val="34006AEC"/>
    <w:rsid w:val="34920D5F"/>
    <w:rsid w:val="357A6928"/>
    <w:rsid w:val="35AB7798"/>
    <w:rsid w:val="372974AC"/>
    <w:rsid w:val="37515EC2"/>
    <w:rsid w:val="3878062E"/>
    <w:rsid w:val="3949702E"/>
    <w:rsid w:val="3B2D037B"/>
    <w:rsid w:val="3BE408BA"/>
    <w:rsid w:val="3C280EE1"/>
    <w:rsid w:val="3C7F703B"/>
    <w:rsid w:val="3D70189E"/>
    <w:rsid w:val="3EA712B9"/>
    <w:rsid w:val="3F096C10"/>
    <w:rsid w:val="42271DDB"/>
    <w:rsid w:val="428768D5"/>
    <w:rsid w:val="43910C0D"/>
    <w:rsid w:val="439C3C69"/>
    <w:rsid w:val="47534D22"/>
    <w:rsid w:val="48B52937"/>
    <w:rsid w:val="48EE3EF3"/>
    <w:rsid w:val="4B5F5913"/>
    <w:rsid w:val="4C1E2F28"/>
    <w:rsid w:val="4CF02FBD"/>
    <w:rsid w:val="4CFC29CC"/>
    <w:rsid w:val="4D6E1856"/>
    <w:rsid w:val="4DF64509"/>
    <w:rsid w:val="4E7B2B79"/>
    <w:rsid w:val="502C04C1"/>
    <w:rsid w:val="51DE24AB"/>
    <w:rsid w:val="5651051D"/>
    <w:rsid w:val="56EC004A"/>
    <w:rsid w:val="578D5F45"/>
    <w:rsid w:val="57E961A8"/>
    <w:rsid w:val="581E77CF"/>
    <w:rsid w:val="587C6E9B"/>
    <w:rsid w:val="58B06254"/>
    <w:rsid w:val="5A136396"/>
    <w:rsid w:val="5AF25131"/>
    <w:rsid w:val="5D895CCD"/>
    <w:rsid w:val="5FBF447F"/>
    <w:rsid w:val="600176AC"/>
    <w:rsid w:val="61D32C66"/>
    <w:rsid w:val="63394CDE"/>
    <w:rsid w:val="64D635C6"/>
    <w:rsid w:val="64D7419F"/>
    <w:rsid w:val="652A1967"/>
    <w:rsid w:val="65332BB8"/>
    <w:rsid w:val="65B81EF1"/>
    <w:rsid w:val="664A46E0"/>
    <w:rsid w:val="66755D81"/>
    <w:rsid w:val="66BC51DF"/>
    <w:rsid w:val="67B62F56"/>
    <w:rsid w:val="6814790A"/>
    <w:rsid w:val="68367D7A"/>
    <w:rsid w:val="68A121F7"/>
    <w:rsid w:val="68A9241E"/>
    <w:rsid w:val="694421FC"/>
    <w:rsid w:val="69C3634D"/>
    <w:rsid w:val="6A6319FD"/>
    <w:rsid w:val="6ABA10B9"/>
    <w:rsid w:val="6B6D695A"/>
    <w:rsid w:val="6EE03CCD"/>
    <w:rsid w:val="6EF63115"/>
    <w:rsid w:val="6FD41D7F"/>
    <w:rsid w:val="719B6D71"/>
    <w:rsid w:val="72416639"/>
    <w:rsid w:val="72AE383C"/>
    <w:rsid w:val="72E937F8"/>
    <w:rsid w:val="738C1FE2"/>
    <w:rsid w:val="73B44099"/>
    <w:rsid w:val="75531EF6"/>
    <w:rsid w:val="75D0003D"/>
    <w:rsid w:val="75D66CCC"/>
    <w:rsid w:val="760F00F7"/>
    <w:rsid w:val="764F7877"/>
    <w:rsid w:val="76517B65"/>
    <w:rsid w:val="798D21D5"/>
    <w:rsid w:val="79A55EE8"/>
    <w:rsid w:val="7AA141FF"/>
    <w:rsid w:val="7BAC3ED9"/>
    <w:rsid w:val="7C445B57"/>
    <w:rsid w:val="7C923606"/>
    <w:rsid w:val="7D713C10"/>
    <w:rsid w:val="7DB94ADD"/>
    <w:rsid w:val="7DC54996"/>
    <w:rsid w:val="7EB269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4"/>
    <w:link w:val="2"/>
    <w:semiHidden/>
    <w:uiPriority w:val="99"/>
    <w:rPr>
      <w:rFonts w:ascii="Calibri" w:hAnsi="Calibri" w:cs="Calibri"/>
      <w:sz w:val="18"/>
      <w:szCs w:val="18"/>
    </w:rPr>
  </w:style>
  <w:style w:type="character" w:customStyle="1" w:styleId="7">
    <w:name w:val="Header Char"/>
    <w:basedOn w:val="4"/>
    <w:link w:val="3"/>
    <w:semiHidden/>
    <w:qFormat/>
    <w:uiPriority w:val="99"/>
    <w:rPr>
      <w:rFonts w:ascii="Calibri" w:hAnsi="Calibri" w:cs="Calibri"/>
      <w:sz w:val="18"/>
      <w:szCs w:val="18"/>
    </w:rPr>
  </w:style>
  <w:style w:type="character" w:customStyle="1" w:styleId="8">
    <w:name w:val="font31"/>
    <w:basedOn w:val="4"/>
    <w:qFormat/>
    <w:uiPriority w:val="99"/>
    <w:rPr>
      <w:rFonts w:ascii="Arial" w:hAnsi="Arial" w:cs="Arial"/>
      <w:color w:val="000000"/>
      <w:sz w:val="16"/>
      <w:szCs w:val="16"/>
      <w:u w:val="none"/>
    </w:rPr>
  </w:style>
  <w:style w:type="character" w:customStyle="1" w:styleId="9">
    <w:name w:val="font01"/>
    <w:basedOn w:val="4"/>
    <w:qFormat/>
    <w:uiPriority w:val="99"/>
    <w:rPr>
      <w:rFonts w:ascii="Arial" w:hAnsi="Arial" w:cs="Arial"/>
      <w:color w:val="000000"/>
      <w:sz w:val="16"/>
      <w:szCs w:val="16"/>
      <w:u w:val="none"/>
    </w:rPr>
  </w:style>
  <w:style w:type="character" w:customStyle="1" w:styleId="10">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1488</Words>
  <Characters>8483</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Lenovo</cp:lastModifiedBy>
  <cp:lastPrinted>2017-07-25T02:47:00Z</cp:lastPrinted>
  <dcterms:modified xsi:type="dcterms:W3CDTF">2017-10-31T06:09:29Z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